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hint="eastAsia" w:ascii="仿宋_GB2312" w:hAnsi="华文中宋" w:eastAsia="仿宋_GB2312"/>
          <w:b/>
          <w:sz w:val="32"/>
          <w:szCs w:val="32"/>
        </w:rPr>
      </w:pPr>
      <w:r>
        <w:rPr>
          <w:rFonts w:hint="eastAsia" w:ascii="仿宋_GB2312" w:hAnsi="华文中宋" w:eastAsia="仿宋_GB2312"/>
          <w:b/>
          <w:sz w:val="32"/>
          <w:szCs w:val="32"/>
        </w:rPr>
        <w:t>附件1：</w:t>
      </w:r>
    </w:p>
    <w:p>
      <w:pPr>
        <w:spacing w:line="600" w:lineRule="exact"/>
        <w:jc w:val="center"/>
        <w:rPr>
          <w:rFonts w:hint="eastAsia" w:ascii="仿宋_GB2312" w:hAnsi="华文中宋" w:eastAsia="仿宋_GB2312"/>
          <w:b/>
          <w:sz w:val="36"/>
          <w:szCs w:val="36"/>
        </w:rPr>
      </w:pPr>
      <w:r>
        <w:rPr>
          <w:rFonts w:hint="eastAsia" w:ascii="仿宋_GB2312" w:hAnsi="华文中宋" w:eastAsia="仿宋_GB2312"/>
          <w:b/>
          <w:sz w:val="36"/>
          <w:szCs w:val="36"/>
        </w:rPr>
        <w:t>海南省资产评估机构综合评价</w:t>
      </w:r>
      <w:r>
        <w:rPr>
          <w:rFonts w:hint="eastAsia" w:ascii="仿宋_GB2312" w:hAnsi="华文中宋" w:eastAsia="仿宋_GB2312"/>
          <w:b/>
          <w:sz w:val="36"/>
          <w:szCs w:val="36"/>
          <w:lang w:eastAsia="zh-CN"/>
        </w:rPr>
        <w:t>暂行</w:t>
      </w:r>
      <w:r>
        <w:rPr>
          <w:rFonts w:hint="eastAsia" w:ascii="仿宋_GB2312" w:hAnsi="华文中宋" w:eastAsia="仿宋_GB2312"/>
          <w:b/>
          <w:sz w:val="36"/>
          <w:szCs w:val="36"/>
        </w:rPr>
        <w:t>办法</w:t>
      </w:r>
    </w:p>
    <w:p>
      <w:pPr>
        <w:spacing w:line="600" w:lineRule="exact"/>
        <w:jc w:val="center"/>
        <w:rPr>
          <w:rFonts w:hint="eastAsia" w:ascii="仿宋_GB2312" w:hAnsi="华文中宋" w:eastAsia="仿宋_GB2312"/>
          <w:b/>
          <w:sz w:val="36"/>
          <w:szCs w:val="36"/>
        </w:rPr>
      </w:pPr>
    </w:p>
    <w:p>
      <w:pPr>
        <w:numPr>
          <w:ilvl w:val="0"/>
          <w:numId w:val="1"/>
        </w:numPr>
        <w:spacing w:line="560" w:lineRule="exact"/>
        <w:rPr>
          <w:rFonts w:hint="eastAsia" w:ascii="仿宋_GB2312" w:eastAsia="仿宋_GB2312"/>
          <w:spacing w:val="-6"/>
          <w:sz w:val="32"/>
          <w:szCs w:val="32"/>
        </w:rPr>
      </w:pPr>
      <w:r>
        <w:rPr>
          <w:rFonts w:hint="eastAsia" w:ascii="仿宋_GB2312" w:hAnsi="宋体" w:eastAsia="仿宋_GB2312"/>
          <w:spacing w:val="0"/>
          <w:sz w:val="32"/>
          <w:szCs w:val="32"/>
          <w:lang w:val="en-US" w:eastAsia="zh-CN"/>
        </w:rPr>
        <w:t xml:space="preserve"> </w:t>
      </w:r>
      <w:r>
        <w:rPr>
          <w:rFonts w:hint="eastAsia" w:ascii="仿宋_GB2312" w:hAnsi="宋体" w:eastAsia="仿宋_GB2312"/>
          <w:spacing w:val="0"/>
          <w:sz w:val="32"/>
          <w:szCs w:val="32"/>
        </w:rPr>
        <w:t>为规范我省资产评估机构评价行为，引导资产评估机构合理竞争，激励我省资产评估机构做优做强做大，提升资产评估行业影响力，促进我省资产评估行业的健康发展，根据中国资产评估协会《资产评估机构综合评价办法》</w:t>
      </w:r>
      <w:r>
        <w:rPr>
          <w:rFonts w:hint="eastAsia" w:ascii="仿宋_GB2312" w:hAnsi="宋体" w:eastAsia="仿宋_GB2312"/>
          <w:spacing w:val="0"/>
          <w:sz w:val="32"/>
          <w:szCs w:val="32"/>
          <w:lang w:eastAsia="zh-CN"/>
        </w:rPr>
        <w:t>，结合海南省实际情况</w:t>
      </w:r>
      <w:r>
        <w:rPr>
          <w:rFonts w:hint="eastAsia" w:ascii="仿宋_GB2312" w:hAnsi="宋体" w:eastAsia="仿宋_GB2312"/>
          <w:spacing w:val="0"/>
          <w:sz w:val="32"/>
          <w:szCs w:val="32"/>
        </w:rPr>
        <w:t>制定本办法。</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资产评估机构综合评价是根据资产评估机构经营规模、执业质量、行业贡献、内部管理等反映资产评估机构总体状况的相关单项指标进行评分，并按照各指标权重系数计算资产评估机构的综合得分，据此作出级别评价。</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资产评估机构综合评价遵循客观、科学、公开、公平、公正原则。</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综合评价工作每年组织一次，评价年度为上一年度，基准日为</w:t>
      </w:r>
      <w:r>
        <w:rPr>
          <w:rFonts w:hint="eastAsia" w:ascii="仿宋_GB2312" w:eastAsia="仿宋_GB2312"/>
          <w:sz w:val="32"/>
          <w:szCs w:val="32"/>
        </w:rPr>
        <w:t>12</w:t>
      </w:r>
      <w:r>
        <w:rPr>
          <w:rFonts w:hint="eastAsia" w:ascii="仿宋_GB2312" w:hAnsi="宋体" w:eastAsia="仿宋_GB2312"/>
          <w:sz w:val="32"/>
          <w:szCs w:val="32"/>
        </w:rPr>
        <w:t>月</w:t>
      </w:r>
      <w:r>
        <w:rPr>
          <w:rFonts w:hint="eastAsia" w:ascii="仿宋_GB2312" w:eastAsia="仿宋_GB2312"/>
          <w:sz w:val="32"/>
          <w:szCs w:val="32"/>
        </w:rPr>
        <w:t>31</w:t>
      </w:r>
      <w:r>
        <w:rPr>
          <w:rFonts w:hint="eastAsia" w:ascii="仿宋_GB2312" w:hAnsi="宋体" w:eastAsia="仿宋_GB2312"/>
          <w:sz w:val="32"/>
          <w:szCs w:val="32"/>
        </w:rPr>
        <w:t>日。</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本省范围内</w:t>
      </w:r>
      <w:r>
        <w:rPr>
          <w:rFonts w:hint="eastAsia" w:ascii="仿宋_GB2312" w:hAnsi="宋体" w:eastAsia="仿宋_GB2312"/>
          <w:sz w:val="32"/>
          <w:szCs w:val="32"/>
          <w:lang w:eastAsia="zh-CN"/>
        </w:rPr>
        <w:t>备案</w:t>
      </w:r>
      <w:r>
        <w:rPr>
          <w:rFonts w:hint="eastAsia" w:ascii="仿宋_GB2312" w:hAnsi="宋体" w:eastAsia="仿宋_GB2312"/>
          <w:sz w:val="32"/>
          <w:szCs w:val="32"/>
        </w:rPr>
        <w:t>满一年以上的</w:t>
      </w:r>
      <w:r>
        <w:rPr>
          <w:rFonts w:hint="eastAsia" w:ascii="仿宋_GB2312" w:hAnsi="宋体" w:eastAsia="仿宋_GB2312"/>
          <w:sz w:val="32"/>
          <w:szCs w:val="32"/>
          <w:lang w:eastAsia="zh-CN"/>
        </w:rPr>
        <w:t>并且持续符合资产评估法规定设立条件的</w:t>
      </w:r>
      <w:r>
        <w:rPr>
          <w:rFonts w:hint="eastAsia" w:ascii="仿宋_GB2312" w:hAnsi="宋体" w:eastAsia="仿宋_GB2312"/>
          <w:sz w:val="32"/>
          <w:szCs w:val="32"/>
        </w:rPr>
        <w:t>资产评估机构及外省资产评估机构在我省设立的分支机构，均可参加综合评价。</w:t>
      </w:r>
    </w:p>
    <w:p>
      <w:pPr>
        <w:numPr>
          <w:ilvl w:val="0"/>
          <w:numId w:val="1"/>
        </w:numPr>
        <w:spacing w:line="560" w:lineRule="exact"/>
        <w:rPr>
          <w:rFonts w:hint="eastAsia" w:ascii="仿宋_GB2312"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综合评价选取资产评估机构的下列指标，采用平均值比较计算单项指标得分：</w:t>
      </w:r>
    </w:p>
    <w:p>
      <w:pPr>
        <w:numPr>
          <w:ilvl w:val="0"/>
          <w:numId w:val="2"/>
        </w:numPr>
        <w:spacing w:line="560" w:lineRule="exact"/>
        <w:rPr>
          <w:rFonts w:hint="eastAsia" w:ascii="仿宋_GB2312" w:eastAsia="仿宋_GB2312"/>
          <w:sz w:val="32"/>
          <w:szCs w:val="32"/>
        </w:rPr>
      </w:pPr>
      <w:r>
        <w:rPr>
          <w:rFonts w:hint="eastAsia" w:ascii="仿宋_GB2312" w:eastAsia="仿宋_GB2312"/>
          <w:sz w:val="32"/>
          <w:szCs w:val="32"/>
        </w:rPr>
        <w:t>年资产评估业务收入指标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年资产评估业务收入是指评价年度资产评估机构上报财务报表数据反映的资产评估业务收入。年资产评估业务收入指标得分=100</w:t>
      </w:r>
      <w:r>
        <w:rPr>
          <w:rFonts w:ascii="Arial" w:hAnsi="Arial" w:eastAsia="仿宋_GB2312" w:cs="Arial"/>
          <w:sz w:val="32"/>
          <w:szCs w:val="32"/>
        </w:rPr>
        <w:t>×</w:t>
      </w:r>
      <w:r>
        <w:rPr>
          <w:rFonts w:hint="eastAsia" w:ascii="仿宋_GB2312" w:eastAsia="仿宋_GB2312"/>
          <w:sz w:val="32"/>
          <w:szCs w:val="32"/>
        </w:rPr>
        <w:t>（</w:t>
      </w:r>
      <w:r>
        <w:rPr>
          <w:rFonts w:hint="eastAsia" w:ascii="仿宋_GB2312" w:hAnsi="宋体" w:eastAsia="仿宋_GB2312"/>
          <w:sz w:val="32"/>
          <w:szCs w:val="32"/>
        </w:rPr>
        <w:t>某</w:t>
      </w:r>
      <w:r>
        <w:rPr>
          <w:rFonts w:hint="eastAsia" w:ascii="仿宋_GB2312" w:eastAsia="仿宋_GB2312"/>
          <w:sz w:val="32"/>
          <w:szCs w:val="32"/>
        </w:rPr>
        <w:t>资产评估机构年资产评估业务收入÷参评资产评估机构年资产评估收入前10家平均值）。</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lang w:eastAsia="zh-CN"/>
        </w:rPr>
        <w:t>（二）</w:t>
      </w:r>
      <w:r>
        <w:rPr>
          <w:rFonts w:hint="eastAsia" w:ascii="仿宋_GB2312" w:hAnsi="宋体" w:eastAsia="仿宋_GB2312"/>
          <w:sz w:val="32"/>
          <w:szCs w:val="32"/>
        </w:rPr>
        <w:t>年</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eastAsia="zh-CN"/>
        </w:rPr>
        <w:t>以外的</w:t>
      </w:r>
      <w:r>
        <w:rPr>
          <w:rFonts w:hint="eastAsia" w:ascii="仿宋_GB2312" w:hAnsi="宋体" w:eastAsia="仿宋_GB2312"/>
          <w:sz w:val="32"/>
          <w:szCs w:val="32"/>
        </w:rPr>
        <w:t>收入指标</w:t>
      </w:r>
    </w:p>
    <w:p>
      <w:pPr>
        <w:spacing w:line="560" w:lineRule="exact"/>
        <w:ind w:firstLine="600"/>
        <w:rPr>
          <w:rFonts w:hint="eastAsia" w:ascii="仿宋_GB2312" w:eastAsia="仿宋_GB2312"/>
          <w:sz w:val="32"/>
          <w:szCs w:val="32"/>
        </w:rPr>
      </w:pPr>
      <w:r>
        <w:rPr>
          <w:rFonts w:hint="eastAsia" w:ascii="仿宋_GB2312" w:hAnsi="宋体" w:eastAsia="仿宋_GB2312"/>
          <w:sz w:val="32"/>
          <w:szCs w:val="32"/>
        </w:rPr>
        <w:t>年</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eastAsia="zh-CN"/>
        </w:rPr>
        <w:t>以外的</w:t>
      </w:r>
      <w:r>
        <w:rPr>
          <w:rFonts w:hint="eastAsia" w:ascii="仿宋_GB2312" w:hAnsi="宋体" w:eastAsia="仿宋_GB2312"/>
          <w:sz w:val="32"/>
          <w:szCs w:val="32"/>
        </w:rPr>
        <w:t>收入是指评价年度资产评估机构上报财务报表数据反映的</w:t>
      </w:r>
      <w:r>
        <w:rPr>
          <w:rFonts w:hint="eastAsia" w:ascii="仿宋_GB2312" w:hAnsi="宋体" w:eastAsia="仿宋_GB2312"/>
          <w:sz w:val="32"/>
          <w:szCs w:val="32"/>
          <w:lang w:val="en-US" w:eastAsia="zh-CN"/>
        </w:rPr>
        <w:t>除</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eastAsia="zh-CN"/>
        </w:rPr>
        <w:t>以外的</w:t>
      </w:r>
      <w:r>
        <w:rPr>
          <w:rFonts w:hint="eastAsia" w:ascii="仿宋_GB2312" w:hAnsi="宋体" w:eastAsia="仿宋_GB2312"/>
          <w:sz w:val="32"/>
          <w:szCs w:val="32"/>
        </w:rPr>
        <w:t>全部收入。年</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eastAsia="zh-CN"/>
        </w:rPr>
        <w:t>以外的</w:t>
      </w:r>
      <w:r>
        <w:rPr>
          <w:rFonts w:hint="eastAsia" w:ascii="仿宋_GB2312" w:hAnsi="宋体" w:eastAsia="仿宋_GB2312"/>
          <w:sz w:val="32"/>
          <w:szCs w:val="32"/>
        </w:rPr>
        <w:t>收入指标得分</w:t>
      </w:r>
      <w:r>
        <w:rPr>
          <w:rFonts w:hint="eastAsia" w:ascii="仿宋_GB2312" w:eastAsia="仿宋_GB2312"/>
          <w:sz w:val="32"/>
          <w:szCs w:val="32"/>
        </w:rPr>
        <w:t>=100</w:t>
      </w:r>
      <w:r>
        <w:rPr>
          <w:rFonts w:ascii="Arial" w:hAnsi="Arial" w:eastAsia="仿宋_GB2312" w:cs="Arial"/>
          <w:sz w:val="32"/>
          <w:szCs w:val="32"/>
        </w:rPr>
        <w:t>×</w:t>
      </w:r>
      <w:r>
        <w:rPr>
          <w:rFonts w:hint="eastAsia" w:ascii="仿宋_GB2312" w:hAnsi="宋体" w:eastAsia="仿宋_GB2312"/>
          <w:sz w:val="32"/>
          <w:szCs w:val="32"/>
        </w:rPr>
        <w:t>（某资产评估机构年</w:t>
      </w:r>
      <w:r>
        <w:rPr>
          <w:rFonts w:hint="eastAsia" w:ascii="仿宋_GB2312" w:hAnsi="宋体" w:eastAsia="仿宋_GB2312"/>
          <w:sz w:val="32"/>
          <w:szCs w:val="32"/>
          <w:lang w:eastAsia="zh-CN"/>
        </w:rPr>
        <w:t>资产评估业务以外的</w:t>
      </w:r>
      <w:r>
        <w:rPr>
          <w:rFonts w:hint="eastAsia" w:ascii="仿宋_GB2312" w:hAnsi="宋体" w:eastAsia="仿宋_GB2312"/>
          <w:sz w:val="32"/>
          <w:szCs w:val="32"/>
        </w:rPr>
        <w:t>全部收入</w:t>
      </w:r>
      <w:r>
        <w:rPr>
          <w:rFonts w:hint="eastAsia" w:ascii="仿宋_GB2312" w:eastAsia="仿宋_GB2312"/>
          <w:sz w:val="32"/>
          <w:szCs w:val="32"/>
        </w:rPr>
        <w:t>÷</w:t>
      </w:r>
      <w:r>
        <w:rPr>
          <w:rFonts w:hint="eastAsia" w:ascii="仿宋_GB2312" w:hAnsi="宋体" w:eastAsia="仿宋_GB2312"/>
          <w:sz w:val="32"/>
          <w:szCs w:val="32"/>
        </w:rPr>
        <w:t>参评资产评估机构年</w:t>
      </w:r>
      <w:r>
        <w:rPr>
          <w:rFonts w:hint="eastAsia" w:ascii="仿宋_GB2312" w:hAnsi="宋体" w:eastAsia="仿宋_GB2312"/>
          <w:sz w:val="32"/>
          <w:szCs w:val="32"/>
          <w:lang w:val="en-US" w:eastAsia="zh-CN"/>
        </w:rPr>
        <w:t>资产评估</w:t>
      </w:r>
      <w:r>
        <w:rPr>
          <w:rFonts w:hint="eastAsia" w:ascii="仿宋_GB2312" w:hAnsi="宋体" w:eastAsia="仿宋_GB2312"/>
          <w:sz w:val="32"/>
          <w:szCs w:val="32"/>
        </w:rPr>
        <w:t>业务</w:t>
      </w:r>
      <w:r>
        <w:rPr>
          <w:rFonts w:hint="eastAsia" w:ascii="仿宋_GB2312" w:hAnsi="宋体" w:eastAsia="仿宋_GB2312"/>
          <w:sz w:val="32"/>
          <w:szCs w:val="32"/>
          <w:lang w:val="en-US" w:eastAsia="zh-CN"/>
        </w:rPr>
        <w:t>以外</w:t>
      </w:r>
      <w:r>
        <w:rPr>
          <w:rFonts w:hint="eastAsia" w:ascii="仿宋_GB2312" w:hAnsi="宋体" w:eastAsia="仿宋_GB2312"/>
          <w:sz w:val="32"/>
          <w:szCs w:val="32"/>
        </w:rPr>
        <w:t>收入前10家平均值）。</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（三）资产评估师数量指标</w:t>
      </w:r>
    </w:p>
    <w:p>
      <w:pPr>
        <w:spacing w:line="560" w:lineRule="exact"/>
        <w:ind w:firstLine="707" w:firstLineChars="221"/>
        <w:rPr>
          <w:rFonts w:hint="eastAsia" w:ascii="仿宋_GB2312" w:eastAsia="仿宋_GB2312"/>
          <w:sz w:val="32"/>
          <w:szCs w:val="32"/>
        </w:rPr>
      </w:pPr>
      <w:r>
        <w:rPr>
          <w:rFonts w:hint="eastAsia" w:ascii="仿宋_GB2312" w:hAnsi="宋体" w:eastAsia="仿宋_GB2312"/>
          <w:sz w:val="32"/>
          <w:szCs w:val="32"/>
        </w:rPr>
        <w:t>资产评估师数量是指资产评估机构在中评协行业信息平台评价年度基准日记载的资产评估师数量，并综合考虑资深会员数量、金牌会员数量、领军人才数量、专业新锐人才数量和完成后续教育的情况。资产评估师数量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某资产评估机构资产评估师数量</w:t>
      </w:r>
      <w:r>
        <w:rPr>
          <w:rFonts w:hint="eastAsia" w:ascii="仿宋_GB2312" w:eastAsia="仿宋_GB2312"/>
          <w:sz w:val="32"/>
          <w:szCs w:val="32"/>
        </w:rPr>
        <w:t>÷</w:t>
      </w:r>
      <w:r>
        <w:rPr>
          <w:rFonts w:hint="eastAsia" w:ascii="仿宋_GB2312" w:hAnsi="宋体" w:eastAsia="仿宋_GB2312"/>
          <w:sz w:val="32"/>
          <w:szCs w:val="32"/>
        </w:rPr>
        <w:t>参评资产评估机构资产评估师数量前10家的平均值）。其中，资产评估师数量</w:t>
      </w:r>
      <w:r>
        <w:rPr>
          <w:rFonts w:hint="eastAsia" w:ascii="仿宋_GB2312" w:eastAsia="仿宋_GB2312"/>
          <w:sz w:val="32"/>
          <w:szCs w:val="32"/>
        </w:rPr>
        <w:t>=（</w:t>
      </w:r>
      <w:r>
        <w:rPr>
          <w:rFonts w:hint="eastAsia" w:ascii="仿宋_GB2312" w:hAnsi="宋体" w:eastAsia="仿宋_GB2312"/>
          <w:sz w:val="32"/>
          <w:szCs w:val="32"/>
        </w:rPr>
        <w:t>年初资产评估师数量+年末资产评估师数量）/2-未完成当年后续教育的资产评估师数量</w:t>
      </w:r>
      <w:r>
        <w:rPr>
          <w:rFonts w:hint="eastAsia" w:ascii="仿宋_GB2312" w:eastAsia="仿宋_GB2312"/>
          <w:sz w:val="32"/>
          <w:szCs w:val="32"/>
        </w:rPr>
        <w:t>+</w:t>
      </w:r>
      <w:r>
        <w:rPr>
          <w:rFonts w:hint="eastAsia" w:ascii="仿宋_GB2312" w:hAnsi="宋体" w:eastAsia="仿宋_GB2312"/>
          <w:sz w:val="32"/>
          <w:szCs w:val="32"/>
        </w:rPr>
        <w:t>资深会员数量</w:t>
      </w:r>
      <w:r>
        <w:rPr>
          <w:rFonts w:ascii="Arial" w:hAnsi="Arial" w:eastAsia="仿宋_GB2312" w:cs="Arial"/>
          <w:sz w:val="32"/>
          <w:szCs w:val="32"/>
        </w:rPr>
        <w:t>×</w:t>
      </w:r>
      <w:r>
        <w:rPr>
          <w:rFonts w:hint="eastAsia" w:ascii="仿宋_GB2312" w:eastAsia="仿宋_GB2312"/>
          <w:sz w:val="32"/>
          <w:szCs w:val="32"/>
        </w:rPr>
        <w:t>3+领军人才数量</w:t>
      </w:r>
      <w:r>
        <w:rPr>
          <w:rFonts w:ascii="Arial" w:hAnsi="Arial" w:eastAsia="仿宋_GB2312" w:cs="Arial"/>
          <w:sz w:val="32"/>
          <w:szCs w:val="32"/>
        </w:rPr>
        <w:t>×</w:t>
      </w:r>
      <w:r>
        <w:rPr>
          <w:rFonts w:hint="eastAsia" w:ascii="Arial" w:hAnsi="Arial" w:eastAsia="仿宋_GB2312" w:cs="Arial"/>
          <w:sz w:val="32"/>
          <w:szCs w:val="32"/>
        </w:rPr>
        <w:t>3</w:t>
      </w:r>
      <w:r>
        <w:rPr>
          <w:rFonts w:hint="eastAsia" w:ascii="仿宋_GB2312" w:eastAsia="仿宋_GB2312"/>
          <w:sz w:val="32"/>
          <w:szCs w:val="32"/>
        </w:rPr>
        <w:t>+</w:t>
      </w:r>
      <w:r>
        <w:rPr>
          <w:rFonts w:hint="eastAsia" w:ascii="仿宋_GB2312" w:hAnsi="宋体" w:eastAsia="仿宋_GB2312"/>
          <w:sz w:val="32"/>
          <w:szCs w:val="32"/>
        </w:rPr>
        <w:t>金牌会员</w:t>
      </w:r>
      <w:r>
        <w:rPr>
          <w:rFonts w:ascii="Arial" w:hAnsi="Arial" w:eastAsia="仿宋_GB2312" w:cs="Arial"/>
          <w:sz w:val="32"/>
          <w:szCs w:val="32"/>
        </w:rPr>
        <w:t>×</w:t>
      </w:r>
      <w:r>
        <w:rPr>
          <w:rFonts w:hint="eastAsia" w:ascii="仿宋_GB2312" w:eastAsia="仿宋_GB2312"/>
          <w:sz w:val="32"/>
          <w:szCs w:val="32"/>
        </w:rPr>
        <w:t>2+</w:t>
      </w:r>
      <w:r>
        <w:rPr>
          <w:rFonts w:hint="eastAsia" w:ascii="仿宋_GB2312" w:hAnsi="宋体" w:eastAsia="仿宋_GB2312"/>
          <w:sz w:val="32"/>
          <w:szCs w:val="32"/>
        </w:rPr>
        <w:t>专业新锐人才</w:t>
      </w:r>
      <w:r>
        <w:rPr>
          <w:rFonts w:ascii="Arial" w:hAnsi="Arial" w:eastAsia="仿宋_GB2312" w:cs="Arial"/>
          <w:sz w:val="32"/>
          <w:szCs w:val="32"/>
        </w:rPr>
        <w:t>×</w:t>
      </w:r>
      <w:r>
        <w:rPr>
          <w:rFonts w:hint="eastAsia" w:ascii="仿宋_GB2312" w:eastAsia="仿宋_GB2312"/>
          <w:sz w:val="32"/>
          <w:szCs w:val="32"/>
        </w:rPr>
        <w:t>2</w:t>
      </w:r>
      <w:r>
        <w:rPr>
          <w:rFonts w:hint="eastAsia" w:ascii="仿宋_GB2312" w:hAnsi="宋体" w:eastAsia="仿宋_GB2312"/>
          <w:sz w:val="32"/>
          <w:szCs w:val="32"/>
        </w:rPr>
        <w:t>。</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（四）资产评估师年人均资产评估业务收入指标</w:t>
      </w:r>
    </w:p>
    <w:p>
      <w:pPr>
        <w:spacing w:line="560" w:lineRule="exact"/>
        <w:ind w:firstLine="707" w:firstLineChars="221"/>
        <w:rPr>
          <w:rFonts w:hint="eastAsia" w:ascii="仿宋_GB2312" w:eastAsia="仿宋_GB2312"/>
          <w:sz w:val="32"/>
          <w:szCs w:val="32"/>
        </w:rPr>
      </w:pPr>
      <w:r>
        <w:rPr>
          <w:rFonts w:hint="eastAsia" w:ascii="仿宋_GB2312" w:hAnsi="宋体" w:eastAsia="仿宋_GB2312"/>
          <w:sz w:val="32"/>
          <w:szCs w:val="32"/>
        </w:rPr>
        <w:t>资产评估师年人均资产评估业务收入是指资产评估机构资产评估业务收入与资产评估机构在中评协行业信息平台评价年度年初和年末记载的资产评估师数量平均数的比值。资产评估师年人均资产评估业务收入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w:t>
      </w:r>
      <w:r>
        <w:rPr>
          <w:rFonts w:hint="eastAsia" w:ascii="仿宋_GB2312" w:eastAsia="仿宋_GB2312"/>
          <w:sz w:val="32"/>
          <w:szCs w:val="32"/>
        </w:rPr>
        <w:t>资产</w:t>
      </w:r>
      <w:r>
        <w:rPr>
          <w:rFonts w:hint="eastAsia" w:ascii="仿宋_GB2312" w:hAnsi="宋体" w:eastAsia="仿宋_GB2312"/>
          <w:sz w:val="32"/>
          <w:szCs w:val="32"/>
        </w:rPr>
        <w:t>评估机构资产评估师年人均资产评估业务收入</w:t>
      </w:r>
      <w:r>
        <w:rPr>
          <w:rFonts w:hint="eastAsia" w:ascii="仿宋_GB2312" w:eastAsia="仿宋_GB2312"/>
          <w:sz w:val="32"/>
          <w:szCs w:val="32"/>
        </w:rPr>
        <w:t>÷</w:t>
      </w:r>
      <w:r>
        <w:rPr>
          <w:rFonts w:hint="eastAsia" w:ascii="仿宋_GB2312" w:hAnsi="宋体" w:eastAsia="仿宋_GB2312"/>
          <w:sz w:val="32"/>
          <w:szCs w:val="32"/>
        </w:rPr>
        <w:t>参评资产评估机构资产评估师年人均资产评估业务收入前10家平均值</w:t>
      </w:r>
      <w:r>
        <w:rPr>
          <w:rFonts w:hint="eastAsia" w:ascii="Arial" w:hAnsi="Arial" w:eastAsia="仿宋_GB2312" w:cs="Arial"/>
          <w:sz w:val="32"/>
          <w:szCs w:val="32"/>
        </w:rPr>
        <w:t>）。</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（五）资产评估师平均执业年限指标</w:t>
      </w:r>
    </w:p>
    <w:p>
      <w:pPr>
        <w:spacing w:line="560" w:lineRule="exact"/>
        <w:ind w:firstLine="547" w:firstLineChars="171"/>
        <w:rPr>
          <w:rFonts w:hint="eastAsia" w:ascii="仿宋_GB2312" w:eastAsia="仿宋_GB2312"/>
          <w:sz w:val="32"/>
          <w:szCs w:val="32"/>
        </w:rPr>
      </w:pPr>
      <w:r>
        <w:rPr>
          <w:rFonts w:hint="eastAsia" w:ascii="仿宋_GB2312" w:hAnsi="宋体" w:eastAsia="仿宋_GB2312"/>
          <w:sz w:val="32"/>
          <w:szCs w:val="32"/>
        </w:rPr>
        <w:t>资产评估师平均执业年限是指资产评估机构在中评协行业信息平台评价年度基准日记载的全部资产评估师的平均执业时间。资产评估师平均执业年限指标得分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w:t>
      </w:r>
      <w:r>
        <w:rPr>
          <w:rFonts w:hint="eastAsia" w:ascii="Arial" w:hAnsi="Arial" w:eastAsia="仿宋_GB2312" w:cs="Arial"/>
          <w:sz w:val="32"/>
          <w:szCs w:val="32"/>
        </w:rPr>
        <w:t>资产</w:t>
      </w:r>
      <w:r>
        <w:rPr>
          <w:rFonts w:hint="eastAsia" w:ascii="仿宋_GB2312" w:hAnsi="宋体" w:eastAsia="仿宋_GB2312"/>
          <w:sz w:val="32"/>
          <w:szCs w:val="32"/>
        </w:rPr>
        <w:t>评估机构资产评估师平均执业年限</w:t>
      </w:r>
      <w:r>
        <w:rPr>
          <w:rFonts w:hint="eastAsia" w:ascii="仿宋_GB2312" w:eastAsia="仿宋_GB2312"/>
          <w:sz w:val="32"/>
          <w:szCs w:val="32"/>
        </w:rPr>
        <w:t>÷</w:t>
      </w:r>
      <w:r>
        <w:rPr>
          <w:rFonts w:hint="eastAsia" w:ascii="仿宋_GB2312" w:hAnsi="宋体" w:eastAsia="仿宋_GB2312"/>
          <w:sz w:val="32"/>
          <w:szCs w:val="32"/>
        </w:rPr>
        <w:t>参评资产评估机构资产评估师平均执业年限前10家平均值</w:t>
      </w:r>
      <w:r>
        <w:rPr>
          <w:rFonts w:hint="eastAsia" w:ascii="Arial" w:hAnsi="Arial" w:eastAsia="仿宋_GB2312" w:cs="Arial"/>
          <w:sz w:val="32"/>
          <w:szCs w:val="32"/>
        </w:rPr>
        <w:t>）。</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（六）人才培养指标</w:t>
      </w:r>
    </w:p>
    <w:p>
      <w:pPr>
        <w:spacing w:line="560" w:lineRule="exact"/>
        <w:ind w:firstLine="600"/>
        <w:rPr>
          <w:rFonts w:hint="eastAsia" w:ascii="仿宋_GB2312" w:eastAsia="仿宋_GB2312"/>
          <w:sz w:val="32"/>
          <w:szCs w:val="32"/>
        </w:rPr>
      </w:pPr>
      <w:r>
        <w:rPr>
          <w:rFonts w:hint="eastAsia" w:ascii="仿宋_GB2312" w:hAnsi="宋体" w:eastAsia="仿宋_GB2312"/>
          <w:sz w:val="32"/>
          <w:szCs w:val="32"/>
        </w:rPr>
        <w:t>人才培养是指资产评估机构在评价年度内人才培养方面的投入和取得的成绩（见附表</w:t>
      </w:r>
      <w:r>
        <w:rPr>
          <w:rFonts w:hint="eastAsia" w:ascii="仿宋_GB2312" w:eastAsia="仿宋_GB2312"/>
          <w:sz w:val="32"/>
          <w:szCs w:val="32"/>
        </w:rPr>
        <w:t>2</w:t>
      </w:r>
      <w:r>
        <w:rPr>
          <w:rFonts w:hint="eastAsia" w:ascii="仿宋_GB2312" w:hAnsi="宋体" w:eastAsia="仿宋_GB2312"/>
          <w:sz w:val="32"/>
          <w:szCs w:val="32"/>
        </w:rPr>
        <w:t>）。人才培养指标得分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w:t>
      </w:r>
      <w:r>
        <w:rPr>
          <w:rFonts w:hint="eastAsia" w:ascii="仿宋_GB2312" w:eastAsia="仿宋_GB2312"/>
          <w:sz w:val="32"/>
          <w:szCs w:val="32"/>
        </w:rPr>
        <w:t>资产</w:t>
      </w:r>
      <w:r>
        <w:rPr>
          <w:rFonts w:hint="eastAsia" w:ascii="仿宋_GB2312" w:hAnsi="宋体" w:eastAsia="仿宋_GB2312"/>
          <w:sz w:val="32"/>
          <w:szCs w:val="32"/>
        </w:rPr>
        <w:t>评估机构人才培养指标得分</w:t>
      </w:r>
      <w:r>
        <w:rPr>
          <w:rFonts w:hint="eastAsia" w:ascii="仿宋_GB2312" w:eastAsia="仿宋_GB2312"/>
          <w:sz w:val="32"/>
          <w:szCs w:val="32"/>
        </w:rPr>
        <w:t>÷</w:t>
      </w:r>
      <w:r>
        <w:rPr>
          <w:rFonts w:hint="eastAsia" w:ascii="仿宋_GB2312" w:hAnsi="宋体" w:eastAsia="仿宋_GB2312"/>
          <w:sz w:val="32"/>
          <w:szCs w:val="32"/>
        </w:rPr>
        <w:t>参评资产评估机构人才培养得分前10家平均值</w:t>
      </w:r>
      <w:r>
        <w:rPr>
          <w:rFonts w:hint="eastAsia" w:ascii="Arial" w:hAnsi="Arial" w:eastAsia="仿宋_GB2312" w:cs="Arial"/>
          <w:sz w:val="32"/>
          <w:szCs w:val="32"/>
        </w:rPr>
        <w:t>）</w:t>
      </w:r>
      <w:r>
        <w:rPr>
          <w:rFonts w:hint="eastAsia" w:ascii="仿宋_GB2312" w:hAnsi="宋体" w:eastAsia="仿宋_GB2312"/>
          <w:sz w:val="32"/>
          <w:szCs w:val="32"/>
        </w:rPr>
        <w:t>。</w:t>
      </w:r>
    </w:p>
    <w:p>
      <w:pPr>
        <w:spacing w:line="560" w:lineRule="exact"/>
        <w:ind w:left="600"/>
        <w:rPr>
          <w:rFonts w:hint="eastAsia" w:ascii="仿宋_GB2312" w:eastAsia="仿宋_GB2312"/>
          <w:sz w:val="32"/>
          <w:szCs w:val="32"/>
        </w:rPr>
      </w:pPr>
      <w:r>
        <w:rPr>
          <w:rFonts w:hint="eastAsia" w:ascii="仿宋_GB2312" w:eastAsia="仿宋_GB2312"/>
          <w:sz w:val="32"/>
          <w:szCs w:val="32"/>
        </w:rPr>
        <w:t>（七）执业质量指标</w:t>
      </w:r>
    </w:p>
    <w:p>
      <w:pPr>
        <w:ind w:firstLine="600"/>
        <w:rPr>
          <w:rFonts w:hint="eastAsia" w:ascii="仿宋_GB2312" w:eastAsia="仿宋_GB2312"/>
          <w:sz w:val="32"/>
          <w:szCs w:val="32"/>
        </w:rPr>
      </w:pPr>
      <w:r>
        <w:rPr>
          <w:rFonts w:hint="eastAsia" w:ascii="仿宋_GB2312" w:hAnsi="宋体" w:eastAsia="仿宋_GB2312"/>
          <w:sz w:val="32"/>
          <w:szCs w:val="32"/>
        </w:rPr>
        <w:t>执业质量是指资产评估机构在评价年度及前</w:t>
      </w:r>
      <w:r>
        <w:rPr>
          <w:rFonts w:hint="eastAsia" w:ascii="仿宋_GB2312" w:eastAsia="仿宋_GB2312"/>
          <w:sz w:val="32"/>
          <w:szCs w:val="32"/>
        </w:rPr>
        <w:t>4</w:t>
      </w:r>
      <w:r>
        <w:rPr>
          <w:rFonts w:hint="eastAsia" w:ascii="仿宋_GB2312" w:hAnsi="宋体" w:eastAsia="仿宋_GB2312"/>
          <w:sz w:val="32"/>
          <w:szCs w:val="32"/>
        </w:rPr>
        <w:t>年内资产评估机构和资产评估师受到行政处罚、自律惩戒的情况。每家资产评估机构的执业质量基础分为100分，资产评估机构的计分按对应年度执业质量</w:t>
      </w:r>
      <w:r>
        <w:rPr>
          <w:rFonts w:hint="eastAsia" w:ascii="仿宋_GB2312" w:hAnsi="宋体" w:eastAsia="仿宋_GB2312"/>
          <w:sz w:val="32"/>
          <w:szCs w:val="32"/>
          <w:lang w:eastAsia="zh-CN"/>
        </w:rPr>
        <w:t>减</w:t>
      </w:r>
      <w:r>
        <w:rPr>
          <w:rFonts w:hint="eastAsia" w:ascii="仿宋_GB2312" w:hAnsi="宋体" w:eastAsia="仿宋_GB2312"/>
          <w:sz w:val="32"/>
          <w:szCs w:val="32"/>
        </w:rPr>
        <w:t>分标准规定分值（见附表3）累计计算，资产评估师每</w:t>
      </w:r>
      <w:r>
        <w:rPr>
          <w:rFonts w:hint="eastAsia" w:ascii="仿宋_GB2312" w:eastAsia="仿宋_GB2312"/>
          <w:sz w:val="32"/>
          <w:szCs w:val="32"/>
        </w:rPr>
        <w:t>1</w:t>
      </w:r>
      <w:r>
        <w:rPr>
          <w:rFonts w:hint="eastAsia" w:ascii="仿宋_GB2312" w:hAnsi="宋体" w:eastAsia="仿宋_GB2312"/>
          <w:sz w:val="32"/>
          <w:szCs w:val="32"/>
        </w:rPr>
        <w:t>人次计分为资产评估机构计分标准规定分值的</w:t>
      </w:r>
      <w:r>
        <w:rPr>
          <w:rFonts w:hint="eastAsia" w:ascii="仿宋_GB2312" w:eastAsia="仿宋_GB2312"/>
          <w:sz w:val="32"/>
          <w:szCs w:val="32"/>
        </w:rPr>
        <w:t>50%</w:t>
      </w:r>
      <w:r>
        <w:rPr>
          <w:rFonts w:hint="eastAsia" w:ascii="仿宋_GB2312" w:hAnsi="宋体" w:eastAsia="仿宋_GB2312"/>
          <w:sz w:val="32"/>
          <w:szCs w:val="32"/>
        </w:rPr>
        <w:t>累计计算。执业质量指标得分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w:t>
      </w:r>
      <w:r>
        <w:rPr>
          <w:rFonts w:hint="eastAsia" w:ascii="仿宋_GB2312" w:eastAsia="仿宋_GB2312"/>
          <w:sz w:val="32"/>
          <w:szCs w:val="32"/>
        </w:rPr>
        <w:t>100-Σ某资产评估机构</w:t>
      </w:r>
      <w:r>
        <w:rPr>
          <w:rFonts w:hint="eastAsia" w:ascii="仿宋_GB2312" w:hAnsi="宋体" w:eastAsia="仿宋_GB2312"/>
          <w:sz w:val="32"/>
          <w:szCs w:val="32"/>
        </w:rPr>
        <w:t>对应年度受处罚或惩戒的相关分值）</w:t>
      </w:r>
      <w:r>
        <w:rPr>
          <w:rFonts w:hint="eastAsia" w:ascii="仿宋_GB2312" w:eastAsia="仿宋_GB2312"/>
          <w:sz w:val="32"/>
          <w:szCs w:val="32"/>
        </w:rPr>
        <w:t>÷</w:t>
      </w:r>
      <w:r>
        <w:rPr>
          <w:rFonts w:hint="eastAsia" w:ascii="仿宋_GB2312" w:hAnsi="宋体" w:eastAsia="仿宋_GB2312"/>
          <w:sz w:val="32"/>
          <w:szCs w:val="32"/>
        </w:rPr>
        <w:t>参评资产评估机构执业质量得分前10家平均值】（该项得分以减至零分为限）。</w:t>
      </w:r>
    </w:p>
    <w:p>
      <w:pPr>
        <w:spacing w:line="560" w:lineRule="exact"/>
        <w:ind w:left="600"/>
        <w:rPr>
          <w:rFonts w:hint="eastAsia" w:ascii="仿宋_GB2312" w:eastAsia="仿宋_GB2312"/>
          <w:sz w:val="32"/>
          <w:szCs w:val="32"/>
        </w:rPr>
      </w:pPr>
      <w:r>
        <w:rPr>
          <w:rFonts w:hint="eastAsia" w:ascii="仿宋_GB2312" w:hAnsi="宋体" w:eastAsia="仿宋_GB2312"/>
          <w:sz w:val="32"/>
          <w:szCs w:val="32"/>
        </w:rPr>
        <w:t>（八）行业贡献指标</w:t>
      </w:r>
    </w:p>
    <w:p>
      <w:pPr>
        <w:spacing w:line="560" w:lineRule="exact"/>
        <w:ind w:firstLine="600"/>
        <w:rPr>
          <w:rFonts w:hint="eastAsia" w:ascii="仿宋_GB2312" w:hAnsi="宋体" w:eastAsia="仿宋_GB2312"/>
          <w:sz w:val="32"/>
          <w:szCs w:val="32"/>
        </w:rPr>
      </w:pPr>
      <w:r>
        <w:rPr>
          <w:rFonts w:hint="eastAsia" w:ascii="仿宋_GB2312" w:hAnsi="宋体" w:eastAsia="仿宋_GB2312"/>
          <w:sz w:val="32"/>
          <w:szCs w:val="32"/>
        </w:rPr>
        <w:t>行业贡献是指资产评估机构及资产评估师在评价年度内参加中评协和省评协组织的行业建设活动、受到表彰、担任理事等并发挥积极作用的情况（见附表</w:t>
      </w:r>
      <w:r>
        <w:rPr>
          <w:rFonts w:hint="eastAsia" w:ascii="仿宋_GB2312" w:eastAsia="仿宋_GB2312"/>
          <w:sz w:val="32"/>
          <w:szCs w:val="32"/>
        </w:rPr>
        <w:t>4</w:t>
      </w:r>
      <w:r>
        <w:rPr>
          <w:rFonts w:hint="eastAsia" w:ascii="仿宋_GB2312" w:hAnsi="宋体" w:eastAsia="仿宋_GB2312"/>
          <w:sz w:val="32"/>
          <w:szCs w:val="32"/>
        </w:rPr>
        <w:t>）。行业贡献指标得分</w:t>
      </w:r>
      <w:r>
        <w:rPr>
          <w:rFonts w:hint="eastAsia" w:ascii="仿宋_GB2312" w:eastAsia="仿宋_GB2312"/>
          <w:sz w:val="32"/>
          <w:szCs w:val="32"/>
        </w:rPr>
        <w:t>=100</w:t>
      </w:r>
      <w:r>
        <w:rPr>
          <w:rFonts w:ascii="Arial" w:hAnsi="Arial" w:eastAsia="仿宋_GB2312" w:cs="Arial"/>
          <w:sz w:val="32"/>
          <w:szCs w:val="32"/>
        </w:rPr>
        <w:t>×</w:t>
      </w:r>
      <w:r>
        <w:rPr>
          <w:rFonts w:hint="eastAsia" w:ascii="Arial" w:hAnsi="Arial" w:eastAsia="仿宋_GB2312" w:cs="Arial"/>
          <w:sz w:val="32"/>
          <w:szCs w:val="32"/>
        </w:rPr>
        <w:t>（</w:t>
      </w:r>
      <w:r>
        <w:rPr>
          <w:rFonts w:hint="eastAsia" w:ascii="仿宋_GB2312" w:hAnsi="宋体" w:eastAsia="仿宋_GB2312"/>
          <w:sz w:val="32"/>
          <w:szCs w:val="32"/>
        </w:rPr>
        <w:t>某</w:t>
      </w:r>
      <w:r>
        <w:rPr>
          <w:rFonts w:hint="eastAsia" w:ascii="仿宋_GB2312" w:eastAsia="仿宋_GB2312"/>
          <w:sz w:val="32"/>
          <w:szCs w:val="32"/>
        </w:rPr>
        <w:t>资产</w:t>
      </w:r>
      <w:r>
        <w:rPr>
          <w:rFonts w:hint="eastAsia" w:ascii="仿宋_GB2312" w:hAnsi="宋体" w:eastAsia="仿宋_GB2312"/>
          <w:sz w:val="32"/>
          <w:szCs w:val="32"/>
        </w:rPr>
        <w:t>评估机构行业贡献得分</w:t>
      </w:r>
      <w:r>
        <w:rPr>
          <w:rFonts w:hint="eastAsia" w:ascii="仿宋_GB2312" w:eastAsia="仿宋_GB2312"/>
          <w:sz w:val="32"/>
          <w:szCs w:val="32"/>
        </w:rPr>
        <w:t>÷</w:t>
      </w:r>
      <w:r>
        <w:rPr>
          <w:rFonts w:hint="eastAsia" w:ascii="仿宋_GB2312" w:hAnsi="宋体" w:eastAsia="仿宋_GB2312"/>
          <w:sz w:val="32"/>
          <w:szCs w:val="32"/>
        </w:rPr>
        <w:t>参评资产评估机构行业贡献得分前10家平均值</w:t>
      </w:r>
      <w:r>
        <w:rPr>
          <w:rFonts w:hint="eastAsia" w:ascii="Arial" w:hAnsi="Arial" w:eastAsia="仿宋_GB2312" w:cs="Arial"/>
          <w:sz w:val="32"/>
          <w:szCs w:val="32"/>
        </w:rPr>
        <w:t>）</w:t>
      </w:r>
      <w:r>
        <w:rPr>
          <w:rFonts w:hint="eastAsia" w:ascii="仿宋_GB2312" w:hAnsi="宋体" w:eastAsia="仿宋_GB2312"/>
          <w:sz w:val="32"/>
          <w:szCs w:val="32"/>
        </w:rPr>
        <w:t>。</w:t>
      </w:r>
    </w:p>
    <w:p>
      <w:pPr>
        <w:spacing w:line="560" w:lineRule="exact"/>
        <w:ind w:left="600"/>
        <w:rPr>
          <w:rFonts w:hint="eastAsia" w:ascii="仿宋_GB2312" w:eastAsia="仿宋_GB2312"/>
          <w:sz w:val="32"/>
          <w:szCs w:val="32"/>
        </w:rPr>
      </w:pPr>
      <w:r>
        <w:rPr>
          <w:rFonts w:hint="eastAsia" w:ascii="仿宋_GB2312" w:eastAsia="仿宋_GB2312"/>
          <w:sz w:val="32"/>
          <w:szCs w:val="32"/>
        </w:rPr>
        <w:t>（九）内部治理指标</w:t>
      </w:r>
    </w:p>
    <w:p>
      <w:pPr>
        <w:spacing w:line="560" w:lineRule="exact"/>
        <w:ind w:firstLine="616" w:firstLineChars="200"/>
        <w:rPr>
          <w:rFonts w:hint="eastAsia" w:ascii="仿宋_GB2312" w:eastAsia="仿宋_GB2312"/>
          <w:spacing w:val="-6"/>
          <w:sz w:val="32"/>
          <w:szCs w:val="32"/>
        </w:rPr>
      </w:pPr>
      <w:r>
        <w:rPr>
          <w:rFonts w:hint="eastAsia" w:ascii="仿宋_GB2312" w:eastAsia="仿宋_GB2312"/>
          <w:spacing w:val="-6"/>
          <w:sz w:val="32"/>
          <w:szCs w:val="32"/>
        </w:rPr>
        <w:t>内部治理是指资产评估机构有责任明确、有效制衡的组织架构、有科学合理的股东（合伙人）进退机制、激励约束机制、内部决策机制、利益分配机制、质量管理机制、文化建设机制等。有效管理内部矛盾、执业风险、财务风险等，保障机构的健康和谐发展（见附表5）。内部治理指标得分=100</w:t>
      </w:r>
      <w:r>
        <w:rPr>
          <w:rFonts w:ascii="Arial" w:hAnsi="Arial" w:eastAsia="仿宋_GB2312" w:cs="Arial"/>
          <w:spacing w:val="-6"/>
          <w:sz w:val="32"/>
          <w:szCs w:val="32"/>
        </w:rPr>
        <w:t>×</w:t>
      </w:r>
      <w:r>
        <w:rPr>
          <w:rFonts w:hint="eastAsia" w:ascii="Arial" w:hAnsi="Arial" w:eastAsia="仿宋_GB2312" w:cs="Arial"/>
          <w:spacing w:val="-6"/>
          <w:sz w:val="32"/>
          <w:szCs w:val="32"/>
        </w:rPr>
        <w:t>（</w:t>
      </w:r>
      <w:r>
        <w:rPr>
          <w:rFonts w:hint="eastAsia" w:ascii="仿宋_GB2312" w:hAnsi="宋体" w:eastAsia="仿宋_GB2312"/>
          <w:spacing w:val="-6"/>
          <w:sz w:val="32"/>
          <w:szCs w:val="32"/>
        </w:rPr>
        <w:t>某</w:t>
      </w:r>
      <w:r>
        <w:rPr>
          <w:rFonts w:hint="eastAsia" w:ascii="仿宋_GB2312" w:eastAsia="仿宋_GB2312"/>
          <w:spacing w:val="-6"/>
          <w:sz w:val="32"/>
          <w:szCs w:val="32"/>
        </w:rPr>
        <w:t>资产评估机构内部治理指标得分÷参评资产评估机构内部治理指标得分前10家的平均值</w:t>
      </w:r>
      <w:r>
        <w:rPr>
          <w:rFonts w:hint="eastAsia" w:ascii="Arial" w:hAnsi="Arial" w:eastAsia="仿宋_GB2312" w:cs="Arial"/>
          <w:spacing w:val="-6"/>
          <w:sz w:val="32"/>
          <w:szCs w:val="32"/>
        </w:rPr>
        <w:t>）</w:t>
      </w:r>
      <w:r>
        <w:rPr>
          <w:rFonts w:hint="eastAsia" w:ascii="仿宋_GB2312" w:eastAsia="仿宋_GB2312"/>
          <w:spacing w:val="-6"/>
          <w:sz w:val="32"/>
          <w:szCs w:val="32"/>
        </w:rPr>
        <w:t>。</w:t>
      </w:r>
    </w:p>
    <w:p>
      <w:pPr>
        <w:spacing w:line="560" w:lineRule="exact"/>
        <w:ind w:firstLine="636" w:firstLineChars="198"/>
        <w:rPr>
          <w:rFonts w:hint="eastAsia" w:ascii="仿宋_GB2312" w:hAnsi="宋体" w:eastAsia="仿宋_GB2312"/>
          <w:sz w:val="32"/>
          <w:szCs w:val="32"/>
        </w:rPr>
      </w:pPr>
      <w:r>
        <w:rPr>
          <w:rFonts w:hint="eastAsia" w:ascii="仿宋_GB2312" w:hAnsi="宋体" w:eastAsia="仿宋_GB2312"/>
          <w:b/>
          <w:sz w:val="32"/>
          <w:szCs w:val="32"/>
        </w:rPr>
        <w:t xml:space="preserve">第七条 </w:t>
      </w:r>
      <w:r>
        <w:rPr>
          <w:rFonts w:hint="eastAsia" w:ascii="仿宋_GB2312" w:hAnsi="宋体" w:eastAsia="仿宋_GB2312"/>
          <w:b/>
          <w:sz w:val="32"/>
          <w:szCs w:val="32"/>
          <w:lang w:val="en-US" w:eastAsia="zh-CN"/>
        </w:rPr>
        <w:t xml:space="preserve"> </w:t>
      </w:r>
      <w:r>
        <w:rPr>
          <w:rFonts w:hint="eastAsia" w:ascii="仿宋_GB2312" w:hAnsi="宋体" w:eastAsia="仿宋_GB2312"/>
          <w:sz w:val="32"/>
          <w:szCs w:val="32"/>
        </w:rPr>
        <w:t>资产评估机构综合评价得分为∑单项评价指标得分</w:t>
      </w:r>
      <w:r>
        <w:rPr>
          <w:rFonts w:ascii="Arial" w:hAnsi="Arial" w:eastAsia="仿宋_GB2312" w:cs="Arial"/>
          <w:sz w:val="32"/>
          <w:szCs w:val="32"/>
        </w:rPr>
        <w:t>×</w:t>
      </w:r>
      <w:r>
        <w:rPr>
          <w:rFonts w:hint="eastAsia" w:ascii="Arial" w:hAnsi="Arial" w:eastAsia="仿宋_GB2312" w:cs="Arial"/>
          <w:sz w:val="32"/>
          <w:szCs w:val="32"/>
        </w:rPr>
        <w:t>指标</w:t>
      </w:r>
      <w:r>
        <w:rPr>
          <w:rFonts w:hint="eastAsia" w:ascii="仿宋_GB2312" w:hAnsi="宋体" w:eastAsia="仿宋_GB2312"/>
          <w:sz w:val="32"/>
          <w:szCs w:val="32"/>
        </w:rPr>
        <w:t>权重系数。</w:t>
      </w:r>
    </w:p>
    <w:p>
      <w:pPr>
        <w:spacing w:line="560" w:lineRule="exact"/>
        <w:ind w:firstLine="633" w:firstLineChars="198"/>
        <w:rPr>
          <w:rFonts w:hint="eastAsia" w:ascii="仿宋_GB2312" w:eastAsia="仿宋_GB2312"/>
          <w:sz w:val="32"/>
          <w:szCs w:val="32"/>
        </w:rPr>
      </w:pPr>
      <w:r>
        <w:rPr>
          <w:rFonts w:hint="eastAsia" w:ascii="仿宋_GB2312" w:hAnsi="宋体" w:eastAsia="仿宋_GB2312"/>
          <w:sz w:val="32"/>
          <w:szCs w:val="32"/>
        </w:rPr>
        <w:t>计算公式如下：</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综合评价得分</w:t>
      </w:r>
      <w:r>
        <w:rPr>
          <w:rFonts w:hint="eastAsia" w:ascii="仿宋_GB2312" w:eastAsia="仿宋_GB2312"/>
          <w:sz w:val="32"/>
          <w:szCs w:val="32"/>
        </w:rPr>
        <w:t>=</w:t>
      </w:r>
      <w:r>
        <w:rPr>
          <w:rFonts w:hint="eastAsia" w:ascii="仿宋_GB2312" w:hAnsi="宋体" w:eastAsia="仿宋_GB2312"/>
          <w:sz w:val="32"/>
          <w:szCs w:val="32"/>
        </w:rPr>
        <w:t>年</w:t>
      </w:r>
      <w:r>
        <w:rPr>
          <w:rFonts w:hint="eastAsia" w:ascii="仿宋_GB2312" w:hAnsi="宋体" w:eastAsia="仿宋_GB2312"/>
          <w:sz w:val="32"/>
          <w:szCs w:val="32"/>
          <w:lang w:eastAsia="zh-CN"/>
        </w:rPr>
        <w:t>资产评估</w:t>
      </w:r>
      <w:r>
        <w:rPr>
          <w:rFonts w:hint="eastAsia" w:ascii="仿宋_GB2312" w:hAnsi="宋体" w:eastAsia="仿宋_GB2312"/>
          <w:sz w:val="32"/>
          <w:szCs w:val="32"/>
        </w:rPr>
        <w:t>业务收入指标得分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1</w:t>
      </w:r>
      <w:r>
        <w:rPr>
          <w:rFonts w:hint="eastAsia" w:ascii="仿宋_GB2312" w:eastAsia="仿宋_GB2312"/>
          <w:sz w:val="32"/>
          <w:szCs w:val="32"/>
        </w:rPr>
        <w:t>+</w:t>
      </w:r>
      <w:r>
        <w:rPr>
          <w:rFonts w:hint="eastAsia" w:ascii="仿宋" w:hAnsi="仿宋" w:eastAsia="仿宋" w:cs="仿宋"/>
          <w:sz w:val="32"/>
          <w:szCs w:val="32"/>
        </w:rPr>
        <w:t>年资产评估业务</w:t>
      </w:r>
      <w:r>
        <w:rPr>
          <w:rFonts w:hint="eastAsia" w:ascii="仿宋" w:hAnsi="仿宋" w:eastAsia="仿宋" w:cs="仿宋"/>
          <w:sz w:val="32"/>
          <w:szCs w:val="32"/>
          <w:lang w:eastAsia="zh-CN"/>
        </w:rPr>
        <w:t>以外的</w:t>
      </w:r>
      <w:r>
        <w:rPr>
          <w:rFonts w:hint="eastAsia" w:ascii="仿宋" w:hAnsi="仿宋" w:eastAsia="仿宋" w:cs="仿宋"/>
          <w:sz w:val="32"/>
          <w:szCs w:val="32"/>
        </w:rPr>
        <w:t>收入指标得分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2</w:t>
      </w:r>
      <w:r>
        <w:rPr>
          <w:rFonts w:hint="eastAsia" w:ascii="仿宋_GB2312" w:eastAsia="仿宋_GB2312"/>
          <w:sz w:val="32"/>
          <w:szCs w:val="32"/>
        </w:rPr>
        <w:t>+</w:t>
      </w:r>
      <w:r>
        <w:rPr>
          <w:rFonts w:hint="eastAsia" w:ascii="仿宋_GB2312" w:hAnsi="宋体" w:eastAsia="仿宋_GB2312"/>
          <w:sz w:val="32"/>
          <w:szCs w:val="32"/>
        </w:rPr>
        <w:t>资产评估师数量指标得分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3</w:t>
      </w:r>
      <w:r>
        <w:rPr>
          <w:rFonts w:hint="eastAsia" w:ascii="仿宋_GB2312" w:eastAsia="仿宋_GB2312"/>
          <w:sz w:val="32"/>
          <w:szCs w:val="32"/>
        </w:rPr>
        <w:t>+</w:t>
      </w:r>
      <w:r>
        <w:rPr>
          <w:rFonts w:hint="eastAsia" w:ascii="仿宋_GB2312" w:hAnsi="宋体" w:eastAsia="仿宋_GB2312"/>
          <w:sz w:val="32"/>
          <w:szCs w:val="32"/>
        </w:rPr>
        <w:t>资产评估师年人均资产评估业务收入指标得分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4</w:t>
      </w:r>
      <w:r>
        <w:rPr>
          <w:rFonts w:hint="eastAsia" w:ascii="仿宋_GB2312" w:eastAsia="仿宋_GB2312"/>
          <w:sz w:val="32"/>
          <w:szCs w:val="32"/>
        </w:rPr>
        <w:t>+</w:t>
      </w:r>
      <w:r>
        <w:rPr>
          <w:rFonts w:hint="eastAsia" w:ascii="仿宋_GB2312" w:hAnsi="宋体" w:eastAsia="仿宋_GB2312"/>
          <w:sz w:val="32"/>
          <w:szCs w:val="32"/>
        </w:rPr>
        <w:t>资产评估师平均执业</w:t>
      </w:r>
      <w:r>
        <w:rPr>
          <w:rFonts w:hint="eastAsia" w:ascii="仿宋_GB2312" w:hAnsi="宋体" w:eastAsia="仿宋_GB2312"/>
          <w:sz w:val="32"/>
          <w:szCs w:val="32"/>
          <w:lang w:eastAsia="zh-CN"/>
        </w:rPr>
        <w:t>年</w:t>
      </w:r>
      <w:r>
        <w:rPr>
          <w:rFonts w:hint="eastAsia" w:ascii="仿宋_GB2312" w:hAnsi="宋体" w:eastAsia="仿宋_GB2312"/>
          <w:sz w:val="32"/>
          <w:szCs w:val="32"/>
        </w:rPr>
        <w:t>限指标得分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5</w:t>
      </w:r>
      <w:r>
        <w:rPr>
          <w:rFonts w:hint="eastAsia" w:ascii="仿宋_GB2312" w:eastAsia="仿宋_GB2312"/>
          <w:sz w:val="32"/>
          <w:szCs w:val="32"/>
        </w:rPr>
        <w:t xml:space="preserve"> +</w:t>
      </w:r>
      <w:r>
        <w:rPr>
          <w:rFonts w:hint="eastAsia" w:ascii="仿宋_GB2312" w:hAnsi="宋体" w:eastAsia="仿宋_GB2312"/>
          <w:sz w:val="32"/>
          <w:szCs w:val="32"/>
        </w:rPr>
        <w:t>人才培养指标得分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6</w:t>
      </w:r>
      <w:r>
        <w:rPr>
          <w:rFonts w:hint="eastAsia" w:ascii="仿宋_GB2312" w:eastAsia="仿宋_GB2312"/>
          <w:sz w:val="32"/>
          <w:szCs w:val="32"/>
        </w:rPr>
        <w:t xml:space="preserve"> +</w:t>
      </w:r>
      <w:r>
        <w:rPr>
          <w:rFonts w:hint="eastAsia" w:ascii="仿宋_GB2312" w:hAnsi="宋体" w:eastAsia="仿宋_GB2312"/>
          <w:sz w:val="32"/>
          <w:szCs w:val="32"/>
        </w:rPr>
        <w:t>执业质量指标得分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eastAsia="仿宋_GB2312"/>
          <w:sz w:val="32"/>
          <w:szCs w:val="32"/>
          <w:vertAlign w:val="subscript"/>
        </w:rPr>
        <w:t>7</w:t>
      </w:r>
      <w:r>
        <w:rPr>
          <w:rFonts w:hint="eastAsia" w:ascii="仿宋_GB2312" w:eastAsia="仿宋_GB2312"/>
          <w:sz w:val="32"/>
          <w:szCs w:val="32"/>
        </w:rPr>
        <w:t>+</w:t>
      </w:r>
      <w:r>
        <w:rPr>
          <w:rFonts w:hint="eastAsia" w:ascii="仿宋_GB2312" w:hAnsi="宋体" w:eastAsia="仿宋_GB2312"/>
          <w:sz w:val="32"/>
          <w:szCs w:val="32"/>
        </w:rPr>
        <w:t>行业贡献指标得分</w:t>
      </w:r>
      <w:r>
        <w:rPr>
          <w:rFonts w:ascii="Arial" w:hAnsi="Arial" w:eastAsia="仿宋_GB2312" w:cs="Arial"/>
          <w:sz w:val="32"/>
          <w:szCs w:val="32"/>
        </w:rPr>
        <w:t>×</w:t>
      </w:r>
      <w:r>
        <w:rPr>
          <w:rFonts w:hint="eastAsia" w:ascii="仿宋_GB2312" w:eastAsia="仿宋_GB2312"/>
          <w:sz w:val="32"/>
          <w:szCs w:val="32"/>
        </w:rPr>
        <w:t>W</w:t>
      </w:r>
      <w:r>
        <w:rPr>
          <w:rFonts w:hint="eastAsia" w:ascii="仿宋_GB2312" w:hAnsi="宋体" w:eastAsia="仿宋_GB2312"/>
          <w:sz w:val="32"/>
          <w:szCs w:val="32"/>
          <w:vertAlign w:val="subscript"/>
        </w:rPr>
        <w:t>8</w:t>
      </w:r>
      <w:r>
        <w:rPr>
          <w:rFonts w:hint="eastAsia" w:ascii="仿宋_GB2312" w:hAnsi="宋体" w:eastAsia="仿宋_GB2312"/>
          <w:sz w:val="32"/>
          <w:szCs w:val="32"/>
        </w:rPr>
        <w:t>＋内部治理指标得分</w:t>
      </w:r>
      <w:r>
        <w:rPr>
          <w:rFonts w:hint="eastAsia" w:ascii="仿宋_GB2312" w:eastAsia="仿宋_GB2312"/>
          <w:sz w:val="32"/>
          <w:szCs w:val="32"/>
        </w:rPr>
        <w:t>W</w:t>
      </w:r>
      <w:r>
        <w:rPr>
          <w:rFonts w:hint="eastAsia" w:ascii="仿宋_GB2312" w:hAnsi="宋体" w:eastAsia="仿宋_GB2312"/>
          <w:sz w:val="32"/>
          <w:szCs w:val="32"/>
          <w:vertAlign w:val="subscript"/>
        </w:rPr>
        <w:t>9</w:t>
      </w:r>
      <w:r>
        <w:rPr>
          <w:rFonts w:hint="eastAsia" w:ascii="仿宋_GB2312" w:hAnsi="宋体" w:eastAsia="仿宋_GB2312"/>
          <w:sz w:val="32"/>
          <w:szCs w:val="32"/>
        </w:rPr>
        <w:t>（其中，</w:t>
      </w:r>
      <w:r>
        <w:rPr>
          <w:rFonts w:hint="eastAsia" w:ascii="仿宋_GB2312" w:eastAsia="仿宋_GB2312"/>
          <w:sz w:val="32"/>
          <w:szCs w:val="32"/>
        </w:rPr>
        <w:t>W</w:t>
      </w:r>
      <w:r>
        <w:rPr>
          <w:rFonts w:hint="eastAsia" w:ascii="仿宋_GB2312" w:eastAsia="仿宋_GB2312"/>
          <w:sz w:val="32"/>
          <w:szCs w:val="32"/>
          <w:vertAlign w:val="subscript"/>
        </w:rPr>
        <w:t>1</w:t>
      </w:r>
      <w:r>
        <w:rPr>
          <w:rFonts w:hint="eastAsia" w:ascii="仿宋_GB2312" w:eastAsia="仿宋_GB2312"/>
          <w:sz w:val="32"/>
          <w:szCs w:val="32"/>
        </w:rPr>
        <w:t xml:space="preserve"> </w:t>
      </w:r>
      <w:r>
        <w:rPr>
          <w:rFonts w:hint="eastAsia" w:ascii="仿宋_GB2312" w:hAnsi="宋体" w:eastAsia="仿宋_GB2312"/>
          <w:sz w:val="32"/>
          <w:szCs w:val="32"/>
        </w:rPr>
        <w:t>，</w:t>
      </w:r>
      <w:r>
        <w:rPr>
          <w:rFonts w:hint="eastAsia" w:ascii="仿宋_GB2312" w:eastAsia="仿宋_GB2312"/>
          <w:sz w:val="32"/>
          <w:szCs w:val="32"/>
        </w:rPr>
        <w:t>W</w:t>
      </w:r>
      <w:r>
        <w:rPr>
          <w:rFonts w:hint="eastAsia" w:ascii="仿宋_GB2312" w:eastAsia="仿宋_GB2312"/>
          <w:sz w:val="32"/>
          <w:szCs w:val="32"/>
          <w:vertAlign w:val="subscript"/>
        </w:rPr>
        <w:t>2</w:t>
      </w:r>
      <w:r>
        <w:rPr>
          <w:rFonts w:hint="eastAsia" w:ascii="仿宋_GB2312" w:eastAsia="仿宋_GB2312"/>
          <w:sz w:val="32"/>
          <w:szCs w:val="32"/>
        </w:rPr>
        <w:t>……W</w:t>
      </w:r>
      <w:r>
        <w:rPr>
          <w:rFonts w:hint="eastAsia" w:ascii="仿宋_GB2312" w:eastAsia="仿宋_GB2312"/>
          <w:sz w:val="32"/>
          <w:szCs w:val="32"/>
          <w:vertAlign w:val="subscript"/>
        </w:rPr>
        <w:t>9</w:t>
      </w:r>
      <w:r>
        <w:rPr>
          <w:rFonts w:hint="eastAsia" w:ascii="仿宋_GB2312" w:hAnsi="宋体" w:eastAsia="仿宋_GB2312"/>
          <w:sz w:val="32"/>
          <w:szCs w:val="32"/>
        </w:rPr>
        <w:t>，为权重系数，见附表1）。</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bCs/>
          <w:sz w:val="32"/>
          <w:szCs w:val="32"/>
          <w:lang w:eastAsia="zh-CN"/>
        </w:rPr>
        <w:t>第八条</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根据各资产评估机构综合评价分为AAA、AA、A、B、C五级。综合评价得分超过85分（含）为AAA级，70分（含）—85分为AA级，55分（含）—70分为A级，40分（含）—55分为B级，40分以下为C级。</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hAnsi="宋体" w:eastAsia="仿宋_GB2312"/>
          <w:b/>
          <w:bCs w:val="0"/>
          <w:sz w:val="32"/>
          <w:szCs w:val="32"/>
        </w:rPr>
        <w:t>第九条</w:t>
      </w:r>
      <w:r>
        <w:rPr>
          <w:rFonts w:hint="eastAsia" w:ascii="仿宋_GB2312" w:hAnsi="宋体" w:eastAsia="仿宋_GB2312"/>
          <w:b/>
          <w:bCs w:val="0"/>
          <w:sz w:val="32"/>
          <w:szCs w:val="32"/>
          <w:lang w:val="en-US" w:eastAsia="zh-CN"/>
        </w:rPr>
        <w:t xml:space="preserve">  </w:t>
      </w:r>
      <w:r>
        <w:rPr>
          <w:rFonts w:hint="eastAsia" w:ascii="仿宋_GB2312" w:hAnsi="宋体" w:eastAsia="仿宋_GB2312"/>
          <w:sz w:val="32"/>
          <w:szCs w:val="32"/>
        </w:rPr>
        <w:t>综合评价按下列程序进行：</w:t>
      </w:r>
    </w:p>
    <w:p>
      <w:pPr>
        <w:spacing w:line="560" w:lineRule="exact"/>
        <w:ind w:firstLine="600"/>
        <w:rPr>
          <w:rFonts w:hint="eastAsia" w:ascii="仿宋_GB2312" w:eastAsia="仿宋_GB2312"/>
          <w:sz w:val="32"/>
          <w:szCs w:val="32"/>
        </w:rPr>
      </w:pPr>
      <w:r>
        <w:rPr>
          <w:rFonts w:hint="eastAsia" w:ascii="仿宋_GB2312" w:hAnsi="宋体" w:eastAsia="仿宋_GB2312"/>
          <w:sz w:val="32"/>
          <w:szCs w:val="32"/>
        </w:rPr>
        <w:t>（一）资产评估机构于评价当年4月</w:t>
      </w:r>
      <w:r>
        <w:rPr>
          <w:rFonts w:hint="eastAsia" w:ascii="仿宋_GB2312" w:eastAsia="仿宋_GB2312"/>
          <w:sz w:val="32"/>
          <w:szCs w:val="32"/>
        </w:rPr>
        <w:t>30</w:t>
      </w:r>
      <w:r>
        <w:rPr>
          <w:rFonts w:hint="eastAsia" w:ascii="仿宋_GB2312" w:hAnsi="宋体" w:eastAsia="仿宋_GB2312"/>
          <w:sz w:val="32"/>
          <w:szCs w:val="32"/>
        </w:rPr>
        <w:t>日之前，按照省评协的通知要求将综合评价所需信息资料上报省评协。</w:t>
      </w:r>
    </w:p>
    <w:p>
      <w:pPr>
        <w:tabs>
          <w:tab w:val="left" w:pos="3125"/>
        </w:tabs>
        <w:spacing w:line="560" w:lineRule="exact"/>
        <w:ind w:firstLine="600"/>
        <w:rPr>
          <w:rFonts w:ascii="仿宋_GB2312" w:eastAsia="仿宋_GB2312"/>
          <w:sz w:val="32"/>
          <w:szCs w:val="32"/>
        </w:rPr>
      </w:pPr>
      <w:r>
        <w:rPr>
          <w:rFonts w:hint="eastAsia" w:ascii="仿宋_GB2312" w:eastAsia="仿宋_GB2312"/>
          <w:sz w:val="32"/>
          <w:szCs w:val="32"/>
        </w:rPr>
        <w:t>（二）省评协对上报的信息资料进行审核、打分、汇总。</w:t>
      </w:r>
    </w:p>
    <w:p>
      <w:pPr>
        <w:tabs>
          <w:tab w:val="left" w:pos="3125"/>
        </w:tabs>
        <w:spacing w:line="560" w:lineRule="exact"/>
        <w:ind w:firstLine="600"/>
        <w:rPr>
          <w:rFonts w:hint="eastAsia" w:ascii="仿宋_GB2312" w:hAnsi="宋体" w:eastAsia="仿宋_GB2312"/>
          <w:sz w:val="32"/>
          <w:szCs w:val="32"/>
        </w:rPr>
      </w:pPr>
      <w:r>
        <w:rPr>
          <w:rFonts w:hint="eastAsia" w:ascii="仿宋_GB2312" w:eastAsia="仿宋_GB2312"/>
          <w:sz w:val="32"/>
          <w:szCs w:val="32"/>
        </w:rPr>
        <w:t>（三）评价当年5</w:t>
      </w:r>
      <w:r>
        <w:rPr>
          <w:rFonts w:hint="eastAsia" w:ascii="仿宋_GB2312" w:hAnsi="宋体" w:eastAsia="仿宋_GB2312"/>
          <w:sz w:val="32"/>
          <w:szCs w:val="32"/>
        </w:rPr>
        <w:t>月</w:t>
      </w:r>
      <w:r>
        <w:rPr>
          <w:rFonts w:hint="eastAsia" w:ascii="仿宋_GB2312" w:eastAsia="仿宋_GB2312"/>
          <w:sz w:val="32"/>
          <w:szCs w:val="32"/>
        </w:rPr>
        <w:t>31</w:t>
      </w:r>
      <w:r>
        <w:rPr>
          <w:rFonts w:hint="eastAsia" w:ascii="仿宋_GB2312" w:hAnsi="宋体" w:eastAsia="仿宋_GB2312"/>
          <w:sz w:val="32"/>
          <w:szCs w:val="32"/>
        </w:rPr>
        <w:t>日之前，省评协将资产评估机构综合评价结果在海南省资产评估协会网站予以公示，公示期</w:t>
      </w:r>
      <w:r>
        <w:rPr>
          <w:rFonts w:hint="eastAsia" w:ascii="仿宋_GB2312" w:eastAsia="仿宋_GB2312"/>
          <w:sz w:val="32"/>
          <w:szCs w:val="32"/>
          <w:lang w:val="en-US" w:eastAsia="zh-CN"/>
        </w:rPr>
        <w:t>7</w:t>
      </w:r>
      <w:r>
        <w:rPr>
          <w:rFonts w:hint="eastAsia" w:ascii="仿宋_GB2312" w:hAnsi="宋体" w:eastAsia="仿宋_GB2312"/>
          <w:sz w:val="32"/>
          <w:szCs w:val="32"/>
        </w:rPr>
        <w:t>天。在公示期内，参评资产评估机构和相关各方可以向省评协反映情况。</w:t>
      </w:r>
    </w:p>
    <w:p>
      <w:pPr>
        <w:tabs>
          <w:tab w:val="left" w:pos="3125"/>
        </w:tabs>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（四）公示期满无异议，或对异议进行核实并修正后，在省评协网站上正式公布综合评价结果。</w:t>
      </w:r>
    </w:p>
    <w:p>
      <w:pPr>
        <w:spacing w:line="560" w:lineRule="exact"/>
        <w:ind w:firstLine="602"/>
        <w:rPr>
          <w:rFonts w:hint="eastAsia" w:ascii="仿宋_GB2312" w:eastAsia="仿宋_GB2312"/>
          <w:b/>
          <w:sz w:val="32"/>
          <w:szCs w:val="32"/>
        </w:rPr>
      </w:pPr>
      <w:r>
        <w:rPr>
          <w:rFonts w:hint="eastAsia" w:ascii="仿宋_GB2312" w:hAnsi="宋体" w:eastAsia="仿宋_GB2312"/>
          <w:b/>
          <w:sz w:val="32"/>
          <w:szCs w:val="32"/>
        </w:rPr>
        <w:t>第十条</w:t>
      </w:r>
      <w:r>
        <w:rPr>
          <w:rFonts w:hint="eastAsia" w:ascii="仿宋_GB2312" w:eastAsia="仿宋_GB2312"/>
          <w:b/>
          <w:sz w:val="32"/>
          <w:szCs w:val="32"/>
        </w:rPr>
        <w:t xml:space="preserve">  </w:t>
      </w:r>
      <w:r>
        <w:rPr>
          <w:rFonts w:hint="eastAsia" w:ascii="仿宋_GB2312" w:hAnsi="宋体" w:eastAsia="仿宋_GB2312"/>
          <w:sz w:val="32"/>
          <w:szCs w:val="32"/>
        </w:rPr>
        <w:t>对填报虚假信息的资产评估机构，一经查实，取消当年参评资格，并计入行业诚信档案。</w:t>
      </w:r>
    </w:p>
    <w:p>
      <w:pPr>
        <w:spacing w:line="560" w:lineRule="exact"/>
        <w:ind w:left="7" w:leftChars="0" w:firstLine="524" w:firstLineChars="175"/>
        <w:rPr>
          <w:rFonts w:hint="default" w:ascii="仿宋_GB2312" w:hAnsi="仿宋_GB2312" w:eastAsia="仿宋_GB2312" w:cs="仿宋_GB2312"/>
          <w:spacing w:val="-6"/>
          <w:sz w:val="32"/>
          <w:szCs w:val="32"/>
          <w:lang w:val="en-US" w:eastAsia="zh-CN"/>
        </w:rPr>
      </w:pPr>
      <w:r>
        <w:rPr>
          <w:rFonts w:hint="eastAsia" w:ascii="仿宋_GB2312" w:hAnsi="宋体" w:eastAsia="仿宋_GB2312"/>
          <w:b/>
          <w:spacing w:val="-11"/>
          <w:sz w:val="32"/>
          <w:szCs w:val="32"/>
        </w:rPr>
        <w:t>第十一条</w:t>
      </w:r>
      <w:r>
        <w:rPr>
          <w:rFonts w:hint="eastAsia" w:ascii="仿宋_GB2312" w:eastAsia="仿宋_GB2312"/>
          <w:spacing w:val="-11"/>
          <w:sz w:val="32"/>
          <w:szCs w:val="32"/>
        </w:rPr>
        <w:t xml:space="preserve">  </w:t>
      </w:r>
      <w:r>
        <w:rPr>
          <w:rFonts w:hint="eastAsia" w:ascii="仿宋_GB2312" w:hAnsi="宋体" w:eastAsia="仿宋_GB2312"/>
          <w:spacing w:val="0"/>
          <w:sz w:val="32"/>
          <w:szCs w:val="32"/>
        </w:rPr>
        <w:t>本办法自发布之日起施行</w:t>
      </w:r>
      <w:r>
        <w:rPr>
          <w:rFonts w:hint="eastAsia" w:ascii="仿宋_GB2312" w:hAnsi="宋体" w:eastAsia="仿宋_GB2312"/>
          <w:spacing w:val="0"/>
          <w:sz w:val="32"/>
          <w:szCs w:val="32"/>
          <w:lang w:eastAsia="zh-CN"/>
        </w:rPr>
        <w:t>，</w:t>
      </w:r>
      <w:r>
        <w:rPr>
          <w:rFonts w:hint="eastAsia" w:ascii="仿宋_GB2312" w:hAnsi="宋体" w:eastAsia="仿宋_GB2312"/>
          <w:spacing w:val="0"/>
          <w:sz w:val="32"/>
          <w:szCs w:val="32"/>
          <w:lang w:val="en-US" w:eastAsia="zh-CN"/>
        </w:rPr>
        <w:t>2014年9月23日印发的《海南省资产评估机构综合评价暂行办法》</w:t>
      </w:r>
      <w:r>
        <w:rPr>
          <w:rFonts w:hint="eastAsia" w:ascii="宋体" w:hAnsi="宋体" w:eastAsia="宋体" w:cs="宋体"/>
          <w:spacing w:val="0"/>
          <w:sz w:val="32"/>
          <w:szCs w:val="32"/>
          <w:lang w:val="en-US" w:eastAsia="zh-CN"/>
        </w:rPr>
        <w:t>〔</w:t>
      </w:r>
      <w:r>
        <w:rPr>
          <w:rFonts w:hint="eastAsia" w:ascii="仿宋_GB2312" w:hAnsi="仿宋_GB2312" w:eastAsia="仿宋_GB2312" w:cs="仿宋_GB2312"/>
          <w:spacing w:val="0"/>
          <w:sz w:val="32"/>
          <w:szCs w:val="32"/>
          <w:lang w:val="en-US" w:eastAsia="zh-CN"/>
        </w:rPr>
        <w:t>2014</w:t>
      </w:r>
      <w:r>
        <w:rPr>
          <w:rFonts w:hint="eastAsia" w:ascii="宋体" w:hAnsi="宋体" w:eastAsia="宋体" w:cs="宋体"/>
          <w:spacing w:val="0"/>
          <w:sz w:val="32"/>
          <w:szCs w:val="32"/>
          <w:lang w:val="en-US" w:eastAsia="zh-CN"/>
        </w:rPr>
        <w:t>〕</w:t>
      </w:r>
      <w:r>
        <w:rPr>
          <w:rFonts w:hint="eastAsia" w:ascii="仿宋_GB2312" w:hAnsi="仿宋_GB2312" w:eastAsia="仿宋_GB2312" w:cs="仿宋_GB2312"/>
          <w:spacing w:val="0"/>
          <w:sz w:val="32"/>
          <w:szCs w:val="32"/>
          <w:lang w:val="en-US" w:eastAsia="zh-CN"/>
        </w:rPr>
        <w:t>57号同时废止</w:t>
      </w:r>
      <w:r>
        <w:rPr>
          <w:rFonts w:hint="eastAsia" w:ascii="仿宋_GB2312" w:hAnsi="仿宋_GB2312" w:eastAsia="仿宋_GB2312" w:cs="仿宋_GB2312"/>
          <w:spacing w:val="-6"/>
          <w:sz w:val="32"/>
          <w:szCs w:val="32"/>
          <w:lang w:val="en-US" w:eastAsia="zh-CN"/>
        </w:rPr>
        <w:t>。</w:t>
      </w:r>
    </w:p>
    <w:p>
      <w:pPr>
        <w:spacing w:line="560" w:lineRule="exact"/>
        <w:ind w:left="567"/>
        <w:rPr>
          <w:rFonts w:hint="eastAsia" w:ascii="仿宋_GB2312" w:eastAsia="仿宋_GB2312"/>
          <w:sz w:val="32"/>
          <w:szCs w:val="32"/>
        </w:rPr>
      </w:pPr>
    </w:p>
    <w:p>
      <w:pPr>
        <w:spacing w:line="560" w:lineRule="exact"/>
        <w:ind w:left="567"/>
        <w:rPr>
          <w:rFonts w:hint="eastAsia" w:ascii="仿宋" w:hAnsi="仿宋" w:eastAsia="仿宋"/>
          <w:sz w:val="32"/>
          <w:szCs w:val="32"/>
        </w:rPr>
      </w:pPr>
      <w:r>
        <w:rPr>
          <w:rFonts w:hint="eastAsia" w:ascii="仿宋" w:hAnsi="仿宋" w:eastAsia="仿宋"/>
          <w:sz w:val="32"/>
          <w:szCs w:val="32"/>
        </w:rPr>
        <w:t>附表1：综合评价指标及权重系数表</w:t>
      </w:r>
    </w:p>
    <w:p>
      <w:pPr>
        <w:spacing w:line="560" w:lineRule="exact"/>
        <w:ind w:left="567"/>
        <w:rPr>
          <w:rFonts w:hint="eastAsia" w:ascii="仿宋" w:hAnsi="仿宋" w:eastAsia="仿宋"/>
          <w:sz w:val="32"/>
          <w:szCs w:val="32"/>
        </w:rPr>
      </w:pPr>
      <w:r>
        <w:rPr>
          <w:rFonts w:hint="eastAsia" w:ascii="仿宋" w:hAnsi="仿宋" w:eastAsia="仿宋"/>
          <w:sz w:val="32"/>
          <w:szCs w:val="32"/>
        </w:rPr>
        <w:t>附表2：人才培养计分标准</w:t>
      </w:r>
    </w:p>
    <w:p>
      <w:pPr>
        <w:spacing w:line="560" w:lineRule="exact"/>
        <w:ind w:firstLine="547" w:firstLineChars="171"/>
        <w:rPr>
          <w:rFonts w:hint="eastAsia" w:ascii="仿宋" w:hAnsi="仿宋" w:eastAsia="仿宋"/>
          <w:b/>
          <w:sz w:val="32"/>
          <w:szCs w:val="32"/>
        </w:rPr>
      </w:pPr>
      <w:r>
        <w:rPr>
          <w:rFonts w:hint="eastAsia" w:ascii="仿宋" w:hAnsi="仿宋" w:eastAsia="仿宋"/>
          <w:sz w:val="32"/>
          <w:szCs w:val="32"/>
        </w:rPr>
        <w:t>附表3：诚信记录-执业质量减分标准</w:t>
      </w:r>
    </w:p>
    <w:p>
      <w:pPr>
        <w:spacing w:line="560" w:lineRule="exact"/>
        <w:ind w:firstLine="547" w:firstLineChars="171"/>
        <w:rPr>
          <w:rFonts w:hint="eastAsia" w:ascii="仿宋" w:hAnsi="仿宋" w:eastAsia="仿宋"/>
          <w:b/>
          <w:sz w:val="32"/>
          <w:szCs w:val="32"/>
        </w:rPr>
      </w:pPr>
      <w:r>
        <w:rPr>
          <w:rFonts w:hint="eastAsia" w:ascii="仿宋" w:hAnsi="仿宋" w:eastAsia="仿宋"/>
          <w:sz w:val="32"/>
          <w:szCs w:val="32"/>
        </w:rPr>
        <w:t>附表4：行业贡献计分标准</w:t>
      </w:r>
    </w:p>
    <w:p>
      <w:pPr>
        <w:spacing w:line="560" w:lineRule="exact"/>
        <w:ind w:firstLine="547" w:firstLineChars="171"/>
        <w:rPr>
          <w:rFonts w:hint="eastAsia" w:ascii="仿宋" w:hAnsi="仿宋" w:eastAsia="仿宋"/>
          <w:b/>
          <w:sz w:val="32"/>
          <w:szCs w:val="32"/>
        </w:rPr>
      </w:pPr>
      <w:r>
        <w:rPr>
          <w:rFonts w:hint="eastAsia" w:ascii="仿宋" w:hAnsi="仿宋" w:eastAsia="仿宋"/>
          <w:sz w:val="32"/>
          <w:szCs w:val="32"/>
        </w:rPr>
        <w:t>附表5：评估机构内部治理综合评价表</w:t>
      </w:r>
    </w:p>
    <w:p>
      <w:pPr>
        <w:spacing w:line="560" w:lineRule="exact"/>
        <w:ind w:firstLine="228" w:firstLineChars="71"/>
        <w:rPr>
          <w:rFonts w:hint="eastAsia" w:ascii="仿宋" w:hAnsi="仿宋" w:eastAsia="仿宋"/>
          <w:b/>
          <w:sz w:val="32"/>
          <w:szCs w:val="32"/>
        </w:rPr>
      </w:pPr>
    </w:p>
    <w:p>
      <w:pPr>
        <w:spacing w:line="440" w:lineRule="exact"/>
        <w:ind w:firstLine="228" w:firstLineChars="71"/>
        <w:rPr>
          <w:rFonts w:hint="eastAsia" w:ascii="仿宋" w:hAnsi="仿宋" w:eastAsia="仿宋"/>
          <w:b/>
          <w:sz w:val="32"/>
          <w:szCs w:val="32"/>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ind w:firstLine="257" w:firstLineChars="71"/>
        <w:rPr>
          <w:rFonts w:hint="eastAsia" w:hAnsi="宋体"/>
          <w:b/>
          <w:sz w:val="36"/>
          <w:szCs w:val="36"/>
        </w:rPr>
      </w:pPr>
    </w:p>
    <w:p>
      <w:pPr>
        <w:spacing w:line="440" w:lineRule="exact"/>
        <w:rPr>
          <w:rFonts w:hint="eastAsia" w:hAnsi="宋体"/>
          <w:b/>
          <w:sz w:val="36"/>
          <w:szCs w:val="36"/>
        </w:rPr>
      </w:pPr>
    </w:p>
    <w:p>
      <w:pPr>
        <w:spacing w:line="440" w:lineRule="exact"/>
        <w:ind w:firstLine="228" w:firstLineChars="71"/>
        <w:rPr>
          <w:b/>
          <w:sz w:val="32"/>
          <w:szCs w:val="32"/>
        </w:rPr>
      </w:pPr>
      <w:r>
        <w:rPr>
          <w:rFonts w:hAnsi="宋体"/>
          <w:b/>
          <w:sz w:val="32"/>
          <w:szCs w:val="32"/>
        </w:rPr>
        <w:t>附表</w:t>
      </w:r>
      <w:r>
        <w:rPr>
          <w:b/>
          <w:sz w:val="32"/>
          <w:szCs w:val="32"/>
        </w:rPr>
        <w:t>1</w:t>
      </w:r>
      <w:r>
        <w:rPr>
          <w:rFonts w:hAnsi="宋体"/>
          <w:b/>
          <w:sz w:val="32"/>
          <w:szCs w:val="32"/>
        </w:rPr>
        <w:t>：</w:t>
      </w:r>
    </w:p>
    <w:p>
      <w:pPr>
        <w:tabs>
          <w:tab w:val="left" w:pos="3731"/>
        </w:tabs>
        <w:spacing w:line="440" w:lineRule="exact"/>
        <w:ind w:firstLine="543" w:firstLineChars="169"/>
        <w:jc w:val="center"/>
        <w:rPr>
          <w:rFonts w:hint="eastAsia" w:hAnsi="宋体"/>
          <w:b/>
          <w:sz w:val="32"/>
          <w:szCs w:val="32"/>
        </w:rPr>
      </w:pPr>
      <w:r>
        <w:rPr>
          <w:rFonts w:hAnsi="宋体"/>
          <w:b/>
          <w:sz w:val="32"/>
          <w:szCs w:val="32"/>
        </w:rPr>
        <w:t>综合评价指标及权重系数表</w:t>
      </w:r>
    </w:p>
    <w:p>
      <w:pPr>
        <w:tabs>
          <w:tab w:val="left" w:pos="3731"/>
        </w:tabs>
        <w:spacing w:line="440" w:lineRule="exact"/>
        <w:ind w:firstLine="543" w:firstLineChars="169"/>
        <w:jc w:val="center"/>
        <w:rPr>
          <w:rFonts w:hint="eastAsia" w:hAnsi="宋体"/>
          <w:b/>
          <w:sz w:val="32"/>
          <w:szCs w:val="32"/>
        </w:rPr>
      </w:pPr>
    </w:p>
    <w:p>
      <w:pPr>
        <w:tabs>
          <w:tab w:val="left" w:pos="3731"/>
        </w:tabs>
        <w:jc w:val="center"/>
        <w:rPr>
          <w:rFonts w:ascii="仿宋" w:hAnsi="仿宋" w:eastAsia="仿宋"/>
          <w:b/>
          <w:sz w:val="30"/>
          <w:szCs w:val="30"/>
        </w:rPr>
      </w:pPr>
    </w:p>
    <w:tbl>
      <w:tblPr>
        <w:tblStyle w:val="5"/>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eastAsia="仿宋"/>
                <w:kern w:val="0"/>
                <w:sz w:val="30"/>
                <w:szCs w:val="30"/>
              </w:rPr>
            </w:pPr>
            <w:r>
              <w:rPr>
                <w:rFonts w:hAnsi="仿宋" w:eastAsia="仿宋"/>
                <w:kern w:val="0"/>
                <w:sz w:val="30"/>
                <w:szCs w:val="30"/>
              </w:rPr>
              <w:t>序号</w:t>
            </w:r>
          </w:p>
        </w:tc>
        <w:tc>
          <w:tcPr>
            <w:tcW w:w="5103" w:type="dxa"/>
            <w:noWrap/>
            <w:vAlign w:val="center"/>
          </w:tcPr>
          <w:p>
            <w:pPr>
              <w:widowControl/>
              <w:jc w:val="center"/>
              <w:rPr>
                <w:rFonts w:eastAsia="仿宋"/>
                <w:kern w:val="0"/>
                <w:sz w:val="30"/>
                <w:szCs w:val="30"/>
              </w:rPr>
            </w:pPr>
            <w:r>
              <w:rPr>
                <w:rFonts w:hAnsi="仿宋" w:eastAsia="仿宋"/>
                <w:kern w:val="0"/>
                <w:sz w:val="30"/>
                <w:szCs w:val="30"/>
              </w:rPr>
              <w:t>评价指标</w:t>
            </w:r>
          </w:p>
        </w:tc>
        <w:tc>
          <w:tcPr>
            <w:tcW w:w="2126" w:type="dxa"/>
            <w:noWrap w:val="0"/>
            <w:vAlign w:val="center"/>
          </w:tcPr>
          <w:p>
            <w:pPr>
              <w:widowControl/>
              <w:jc w:val="center"/>
              <w:rPr>
                <w:rFonts w:eastAsia="仿宋"/>
                <w:kern w:val="0"/>
                <w:sz w:val="30"/>
                <w:szCs w:val="30"/>
              </w:rPr>
            </w:pPr>
            <w:r>
              <w:rPr>
                <w:rFonts w:hAnsi="仿宋" w:eastAsia="仿宋"/>
                <w:kern w:val="0"/>
                <w:sz w:val="30"/>
                <w:szCs w:val="30"/>
              </w:rPr>
              <w:t>权重系数（</w:t>
            </w:r>
            <w:r>
              <w:rPr>
                <w:rFonts w:eastAsia="仿宋"/>
                <w:kern w:val="0"/>
                <w:sz w:val="30"/>
                <w:szCs w:val="30"/>
              </w:rPr>
              <w:t>W</w:t>
            </w:r>
            <w:r>
              <w:rPr>
                <w:rFonts w:hAnsi="仿宋" w:eastAsia="仿宋"/>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eastAsia="仿宋"/>
                <w:kern w:val="0"/>
                <w:sz w:val="30"/>
                <w:szCs w:val="30"/>
              </w:rPr>
            </w:pPr>
            <w:r>
              <w:rPr>
                <w:rFonts w:eastAsia="仿宋"/>
                <w:kern w:val="0"/>
                <w:sz w:val="30"/>
                <w:szCs w:val="30"/>
              </w:rPr>
              <w:t>1</w:t>
            </w:r>
          </w:p>
        </w:tc>
        <w:tc>
          <w:tcPr>
            <w:tcW w:w="5103" w:type="dxa"/>
            <w:noWrap w:val="0"/>
            <w:vAlign w:val="center"/>
          </w:tcPr>
          <w:p>
            <w:pPr>
              <w:widowControl/>
              <w:rPr>
                <w:rFonts w:eastAsia="仿宋"/>
                <w:kern w:val="0"/>
                <w:sz w:val="30"/>
                <w:szCs w:val="30"/>
              </w:rPr>
            </w:pPr>
            <w:r>
              <w:rPr>
                <w:rFonts w:hAnsi="仿宋" w:eastAsia="仿宋"/>
                <w:kern w:val="0"/>
                <w:sz w:val="30"/>
                <w:szCs w:val="30"/>
              </w:rPr>
              <w:t>年</w:t>
            </w:r>
            <w:r>
              <w:rPr>
                <w:rFonts w:hint="eastAsia" w:hAnsi="仿宋" w:eastAsia="仿宋"/>
                <w:kern w:val="0"/>
                <w:sz w:val="30"/>
                <w:szCs w:val="30"/>
                <w:lang w:eastAsia="zh-CN"/>
              </w:rPr>
              <w:t>资产评估</w:t>
            </w:r>
            <w:r>
              <w:rPr>
                <w:rFonts w:hAnsi="仿宋" w:eastAsia="仿宋"/>
                <w:kern w:val="0"/>
                <w:sz w:val="30"/>
                <w:szCs w:val="30"/>
              </w:rPr>
              <w:t>业务收入指标</w:t>
            </w:r>
          </w:p>
        </w:tc>
        <w:tc>
          <w:tcPr>
            <w:tcW w:w="2126" w:type="dxa"/>
            <w:noWrap w:val="0"/>
            <w:vAlign w:val="center"/>
          </w:tcPr>
          <w:p>
            <w:pPr>
              <w:widowControl/>
              <w:jc w:val="center"/>
              <w:rPr>
                <w:rFonts w:hint="default" w:eastAsia="仿宋"/>
                <w:kern w:val="0"/>
                <w:sz w:val="30"/>
                <w:szCs w:val="30"/>
                <w:lang w:val="en-US" w:eastAsia="zh-CN"/>
              </w:rPr>
            </w:pPr>
            <w:r>
              <w:rPr>
                <w:rFonts w:hint="eastAsia" w:eastAsia="仿宋"/>
                <w:kern w:val="0"/>
                <w:sz w:val="30"/>
                <w:szCs w:val="30"/>
                <w:lang w:val="en-US" w:eastAsia="zh-CN"/>
              </w:rPr>
              <w:t xml:space="preserv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eastAsia="仿宋"/>
                <w:kern w:val="0"/>
                <w:sz w:val="30"/>
                <w:szCs w:val="30"/>
              </w:rPr>
            </w:pPr>
            <w:r>
              <w:rPr>
                <w:rFonts w:eastAsia="仿宋"/>
                <w:kern w:val="0"/>
                <w:sz w:val="30"/>
                <w:szCs w:val="30"/>
              </w:rPr>
              <w:t>2</w:t>
            </w:r>
          </w:p>
        </w:tc>
        <w:tc>
          <w:tcPr>
            <w:tcW w:w="5103" w:type="dxa"/>
            <w:noWrap w:val="0"/>
            <w:vAlign w:val="center"/>
          </w:tcPr>
          <w:p>
            <w:pPr>
              <w:widowControl/>
              <w:rPr>
                <w:rFonts w:hint="eastAsia" w:eastAsia="仿宋"/>
                <w:kern w:val="0"/>
                <w:sz w:val="30"/>
                <w:szCs w:val="30"/>
                <w:lang w:eastAsia="zh-CN"/>
              </w:rPr>
            </w:pPr>
            <w:r>
              <w:rPr>
                <w:rFonts w:hint="eastAsia" w:eastAsia="仿宋"/>
                <w:kern w:val="0"/>
                <w:sz w:val="30"/>
                <w:szCs w:val="30"/>
              </w:rPr>
              <w:t>年</w:t>
            </w:r>
            <w:r>
              <w:rPr>
                <w:rFonts w:hint="eastAsia" w:eastAsia="仿宋"/>
                <w:kern w:val="0"/>
                <w:sz w:val="30"/>
                <w:szCs w:val="30"/>
                <w:lang w:eastAsia="zh-CN"/>
              </w:rPr>
              <w:t>资产评估业务以外的</w:t>
            </w:r>
            <w:r>
              <w:rPr>
                <w:rFonts w:hint="eastAsia" w:eastAsia="仿宋"/>
                <w:kern w:val="0"/>
                <w:sz w:val="30"/>
                <w:szCs w:val="30"/>
              </w:rPr>
              <w:t>收入</w:t>
            </w:r>
            <w:r>
              <w:rPr>
                <w:rFonts w:hint="eastAsia" w:eastAsia="仿宋"/>
                <w:kern w:val="0"/>
                <w:sz w:val="30"/>
                <w:szCs w:val="30"/>
                <w:lang w:eastAsia="zh-CN"/>
              </w:rPr>
              <w:t>指标</w:t>
            </w:r>
          </w:p>
        </w:tc>
        <w:tc>
          <w:tcPr>
            <w:tcW w:w="2126" w:type="dxa"/>
            <w:noWrap w:val="0"/>
            <w:vAlign w:val="center"/>
          </w:tcPr>
          <w:p>
            <w:pPr>
              <w:widowControl/>
              <w:jc w:val="center"/>
              <w:rPr>
                <w:rFonts w:hint="eastAsia" w:eastAsia="仿宋"/>
                <w:kern w:val="0"/>
                <w:sz w:val="30"/>
                <w:szCs w:val="30"/>
                <w:lang w:eastAsia="zh-CN"/>
              </w:rPr>
            </w:pPr>
            <w:r>
              <w:rPr>
                <w:rFonts w:hint="eastAsia" w:eastAsia="仿宋"/>
                <w:kern w:val="0"/>
                <w:sz w:val="30"/>
                <w:szCs w:val="3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3</w:t>
            </w:r>
          </w:p>
        </w:tc>
        <w:tc>
          <w:tcPr>
            <w:tcW w:w="5103" w:type="dxa"/>
            <w:noWrap w:val="0"/>
            <w:vAlign w:val="center"/>
          </w:tcPr>
          <w:p>
            <w:pPr>
              <w:widowControl/>
              <w:rPr>
                <w:rFonts w:hAnsi="仿宋" w:eastAsia="仿宋"/>
                <w:kern w:val="0"/>
                <w:sz w:val="30"/>
                <w:szCs w:val="30"/>
              </w:rPr>
            </w:pPr>
            <w:r>
              <w:rPr>
                <w:rFonts w:hAnsi="仿宋" w:eastAsia="仿宋"/>
                <w:kern w:val="0"/>
                <w:sz w:val="30"/>
                <w:szCs w:val="30"/>
              </w:rPr>
              <w:t>资产评估师数量指标</w:t>
            </w:r>
          </w:p>
        </w:tc>
        <w:tc>
          <w:tcPr>
            <w:tcW w:w="2126" w:type="dxa"/>
            <w:noWrap w:val="0"/>
            <w:vAlign w:val="center"/>
          </w:tcPr>
          <w:p>
            <w:pPr>
              <w:widowControl/>
              <w:jc w:val="center"/>
              <w:rPr>
                <w:rFonts w:hint="default" w:eastAsia="仿宋"/>
                <w:kern w:val="0"/>
                <w:sz w:val="30"/>
                <w:szCs w:val="30"/>
                <w:lang w:val="en-US" w:eastAsia="zh-CN"/>
              </w:rPr>
            </w:pPr>
            <w:r>
              <w:rPr>
                <w:rFonts w:hint="eastAsia" w:eastAsia="仿宋"/>
                <w:kern w:val="0"/>
                <w:sz w:val="30"/>
                <w:szCs w:val="3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4</w:t>
            </w:r>
          </w:p>
        </w:tc>
        <w:tc>
          <w:tcPr>
            <w:tcW w:w="5103" w:type="dxa"/>
            <w:noWrap w:val="0"/>
            <w:vAlign w:val="center"/>
          </w:tcPr>
          <w:p>
            <w:pPr>
              <w:widowControl/>
              <w:rPr>
                <w:rFonts w:eastAsia="仿宋"/>
                <w:kern w:val="0"/>
                <w:sz w:val="30"/>
                <w:szCs w:val="30"/>
              </w:rPr>
            </w:pPr>
            <w:r>
              <w:rPr>
                <w:rFonts w:hAnsi="仿宋" w:eastAsia="仿宋"/>
                <w:kern w:val="0"/>
                <w:sz w:val="26"/>
                <w:szCs w:val="26"/>
              </w:rPr>
              <w:t>资产评估师年人均</w:t>
            </w:r>
            <w:r>
              <w:rPr>
                <w:rFonts w:hint="eastAsia" w:hAnsi="仿宋" w:eastAsia="仿宋"/>
                <w:kern w:val="0"/>
                <w:sz w:val="26"/>
                <w:szCs w:val="26"/>
                <w:lang w:eastAsia="zh-CN"/>
              </w:rPr>
              <w:t>资产评估业务</w:t>
            </w:r>
            <w:r>
              <w:rPr>
                <w:rFonts w:hAnsi="仿宋" w:eastAsia="仿宋"/>
                <w:kern w:val="0"/>
                <w:sz w:val="26"/>
                <w:szCs w:val="26"/>
              </w:rPr>
              <w:t>收入指标</w:t>
            </w:r>
          </w:p>
        </w:tc>
        <w:tc>
          <w:tcPr>
            <w:tcW w:w="2126" w:type="dxa"/>
            <w:noWrap w:val="0"/>
            <w:vAlign w:val="center"/>
          </w:tcPr>
          <w:p>
            <w:pPr>
              <w:widowControl/>
              <w:jc w:val="center"/>
              <w:rPr>
                <w:rFonts w:hint="eastAsia" w:eastAsia="仿宋"/>
                <w:kern w:val="0"/>
                <w:sz w:val="30"/>
                <w:szCs w:val="30"/>
                <w:lang w:eastAsia="zh-CN"/>
              </w:rPr>
            </w:pPr>
            <w:r>
              <w:rPr>
                <w:rFonts w:hint="eastAsia" w:eastAsia="仿宋"/>
                <w:kern w:val="0"/>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5</w:t>
            </w:r>
          </w:p>
        </w:tc>
        <w:tc>
          <w:tcPr>
            <w:tcW w:w="5103" w:type="dxa"/>
            <w:noWrap w:val="0"/>
            <w:vAlign w:val="center"/>
          </w:tcPr>
          <w:p>
            <w:pPr>
              <w:widowControl/>
              <w:rPr>
                <w:rFonts w:eastAsia="仿宋"/>
                <w:kern w:val="0"/>
                <w:sz w:val="30"/>
                <w:szCs w:val="30"/>
              </w:rPr>
            </w:pPr>
            <w:r>
              <w:rPr>
                <w:rFonts w:hAnsi="仿宋" w:eastAsia="仿宋"/>
                <w:kern w:val="0"/>
                <w:sz w:val="30"/>
                <w:szCs w:val="30"/>
              </w:rPr>
              <w:t>资产评估师平均执业年限指标</w:t>
            </w:r>
          </w:p>
        </w:tc>
        <w:tc>
          <w:tcPr>
            <w:tcW w:w="2126" w:type="dxa"/>
            <w:noWrap w:val="0"/>
            <w:vAlign w:val="center"/>
          </w:tcPr>
          <w:p>
            <w:pPr>
              <w:widowControl/>
              <w:jc w:val="center"/>
              <w:rPr>
                <w:rFonts w:hint="eastAsia" w:eastAsia="仿宋"/>
                <w:kern w:val="0"/>
                <w:sz w:val="30"/>
                <w:szCs w:val="30"/>
              </w:rPr>
            </w:pPr>
            <w:r>
              <w:rPr>
                <w:rFonts w:hint="eastAsia" w:eastAsia="仿宋"/>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6</w:t>
            </w:r>
          </w:p>
        </w:tc>
        <w:tc>
          <w:tcPr>
            <w:tcW w:w="5103" w:type="dxa"/>
            <w:noWrap w:val="0"/>
            <w:vAlign w:val="center"/>
          </w:tcPr>
          <w:p>
            <w:pPr>
              <w:widowControl/>
              <w:rPr>
                <w:rFonts w:eastAsia="仿宋"/>
                <w:kern w:val="0"/>
                <w:sz w:val="30"/>
                <w:szCs w:val="30"/>
              </w:rPr>
            </w:pPr>
            <w:r>
              <w:rPr>
                <w:rFonts w:hAnsi="仿宋" w:eastAsia="仿宋"/>
                <w:kern w:val="0"/>
                <w:sz w:val="30"/>
                <w:szCs w:val="30"/>
              </w:rPr>
              <w:t>人才培养指标</w:t>
            </w:r>
          </w:p>
        </w:tc>
        <w:tc>
          <w:tcPr>
            <w:tcW w:w="2126" w:type="dxa"/>
            <w:noWrap w:val="0"/>
            <w:vAlign w:val="center"/>
          </w:tcPr>
          <w:p>
            <w:pPr>
              <w:widowControl/>
              <w:jc w:val="center"/>
              <w:rPr>
                <w:rFonts w:hint="eastAsia" w:eastAsia="仿宋"/>
                <w:kern w:val="0"/>
                <w:sz w:val="30"/>
                <w:szCs w:val="30"/>
                <w:lang w:eastAsia="zh-CN"/>
              </w:rPr>
            </w:pPr>
            <w:r>
              <w:rPr>
                <w:rFonts w:hint="eastAsia" w:eastAsia="仿宋"/>
                <w:kern w:val="0"/>
                <w:sz w:val="30"/>
                <w:szCs w:val="3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7</w:t>
            </w:r>
          </w:p>
        </w:tc>
        <w:tc>
          <w:tcPr>
            <w:tcW w:w="5103" w:type="dxa"/>
            <w:noWrap w:val="0"/>
            <w:vAlign w:val="center"/>
          </w:tcPr>
          <w:p>
            <w:pPr>
              <w:widowControl/>
              <w:rPr>
                <w:rFonts w:eastAsia="仿宋"/>
                <w:kern w:val="0"/>
                <w:sz w:val="30"/>
                <w:szCs w:val="30"/>
              </w:rPr>
            </w:pPr>
            <w:r>
              <w:rPr>
                <w:rFonts w:hAnsi="仿宋" w:eastAsia="仿宋"/>
                <w:kern w:val="0"/>
                <w:sz w:val="30"/>
                <w:szCs w:val="30"/>
              </w:rPr>
              <w:t>执业质量指标</w:t>
            </w:r>
          </w:p>
        </w:tc>
        <w:tc>
          <w:tcPr>
            <w:tcW w:w="2126" w:type="dxa"/>
            <w:noWrap w:val="0"/>
            <w:vAlign w:val="center"/>
          </w:tcPr>
          <w:p>
            <w:pPr>
              <w:widowControl/>
              <w:jc w:val="center"/>
              <w:rPr>
                <w:rFonts w:hint="eastAsia" w:eastAsia="仿宋"/>
                <w:kern w:val="0"/>
                <w:sz w:val="30"/>
                <w:szCs w:val="30"/>
                <w:lang w:eastAsia="zh-CN"/>
              </w:rPr>
            </w:pPr>
            <w:r>
              <w:rPr>
                <w:rFonts w:hint="eastAsia" w:eastAsia="仿宋"/>
                <w:kern w:val="0"/>
                <w:sz w:val="30"/>
                <w:szCs w:val="30"/>
              </w:rPr>
              <w:t>2</w:t>
            </w:r>
            <w:r>
              <w:rPr>
                <w:rFonts w:hint="eastAsia" w:eastAsia="仿宋"/>
                <w:kern w:val="0"/>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8</w:t>
            </w:r>
          </w:p>
        </w:tc>
        <w:tc>
          <w:tcPr>
            <w:tcW w:w="5103" w:type="dxa"/>
            <w:noWrap w:val="0"/>
            <w:vAlign w:val="center"/>
          </w:tcPr>
          <w:p>
            <w:pPr>
              <w:widowControl/>
              <w:rPr>
                <w:rFonts w:eastAsia="仿宋"/>
                <w:kern w:val="0"/>
                <w:sz w:val="30"/>
                <w:szCs w:val="30"/>
              </w:rPr>
            </w:pPr>
            <w:r>
              <w:rPr>
                <w:rFonts w:hAnsi="仿宋" w:eastAsia="仿宋"/>
                <w:kern w:val="0"/>
                <w:sz w:val="30"/>
                <w:szCs w:val="30"/>
              </w:rPr>
              <w:t>行业贡献指标</w:t>
            </w:r>
          </w:p>
        </w:tc>
        <w:tc>
          <w:tcPr>
            <w:tcW w:w="2126" w:type="dxa"/>
            <w:noWrap w:val="0"/>
            <w:vAlign w:val="center"/>
          </w:tcPr>
          <w:p>
            <w:pPr>
              <w:widowControl/>
              <w:ind w:right="120"/>
              <w:jc w:val="center"/>
              <w:rPr>
                <w:rFonts w:eastAsia="仿宋"/>
                <w:kern w:val="0"/>
                <w:sz w:val="30"/>
                <w:szCs w:val="30"/>
              </w:rPr>
            </w:pPr>
            <w:r>
              <w:rPr>
                <w:rFonts w:eastAsia="仿宋"/>
                <w:kern w:val="0"/>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noWrap/>
            <w:vAlign w:val="center"/>
          </w:tcPr>
          <w:p>
            <w:pPr>
              <w:widowControl/>
              <w:jc w:val="center"/>
              <w:rPr>
                <w:rFonts w:hint="eastAsia" w:eastAsia="仿宋"/>
                <w:kern w:val="0"/>
                <w:sz w:val="30"/>
                <w:szCs w:val="30"/>
              </w:rPr>
            </w:pPr>
            <w:r>
              <w:rPr>
                <w:rFonts w:hint="eastAsia" w:eastAsia="仿宋"/>
                <w:kern w:val="0"/>
                <w:sz w:val="30"/>
                <w:szCs w:val="30"/>
              </w:rPr>
              <w:t>9</w:t>
            </w:r>
          </w:p>
        </w:tc>
        <w:tc>
          <w:tcPr>
            <w:tcW w:w="5103" w:type="dxa"/>
            <w:noWrap w:val="0"/>
            <w:vAlign w:val="center"/>
          </w:tcPr>
          <w:p>
            <w:pPr>
              <w:widowControl/>
              <w:rPr>
                <w:rFonts w:eastAsia="仿宋"/>
                <w:kern w:val="0"/>
                <w:sz w:val="30"/>
                <w:szCs w:val="30"/>
              </w:rPr>
            </w:pPr>
            <w:r>
              <w:rPr>
                <w:rFonts w:hAnsi="仿宋" w:eastAsia="仿宋"/>
                <w:kern w:val="0"/>
                <w:sz w:val="30"/>
                <w:szCs w:val="30"/>
              </w:rPr>
              <w:t>内部治理指标</w:t>
            </w:r>
          </w:p>
        </w:tc>
        <w:tc>
          <w:tcPr>
            <w:tcW w:w="2126" w:type="dxa"/>
            <w:noWrap w:val="0"/>
            <w:vAlign w:val="center"/>
          </w:tcPr>
          <w:p>
            <w:pPr>
              <w:widowControl/>
              <w:ind w:right="120"/>
              <w:jc w:val="center"/>
              <w:rPr>
                <w:rFonts w:hint="eastAsia" w:eastAsia="仿宋"/>
                <w:kern w:val="0"/>
                <w:sz w:val="30"/>
                <w:szCs w:val="30"/>
                <w:lang w:eastAsia="zh-CN"/>
              </w:rPr>
            </w:pPr>
            <w:r>
              <w:rPr>
                <w:rFonts w:hint="eastAsia" w:eastAsia="仿宋"/>
                <w:kern w:val="0"/>
                <w:sz w:val="30"/>
                <w:szCs w:val="30"/>
                <w:lang w:val="en-US" w:eastAsia="zh-CN"/>
              </w:rPr>
              <w:t>6</w:t>
            </w:r>
          </w:p>
        </w:tc>
      </w:tr>
    </w:tbl>
    <w:p>
      <w:pPr>
        <w:spacing w:line="440" w:lineRule="exact"/>
        <w:ind w:firstLine="963" w:firstLineChars="321"/>
        <w:rPr>
          <w:rFonts w:hint="eastAsia" w:ascii="仿宋" w:hAnsi="仿宋" w:eastAsia="仿宋"/>
          <w:sz w:val="30"/>
          <w:szCs w:val="30"/>
        </w:rPr>
      </w:pPr>
    </w:p>
    <w:p>
      <w:pPr>
        <w:spacing w:line="440" w:lineRule="exact"/>
        <w:rPr>
          <w:rFonts w:hint="eastAsia" w:ascii="仿宋" w:hAnsi="仿宋" w:eastAsia="仿宋"/>
          <w:sz w:val="30"/>
          <w:szCs w:val="30"/>
        </w:rPr>
      </w:pPr>
      <w:r>
        <w:rPr>
          <w:rFonts w:hint="eastAsia" w:ascii="仿宋" w:hAnsi="仿宋" w:eastAsia="仿宋"/>
          <w:sz w:val="30"/>
          <w:szCs w:val="30"/>
        </w:rPr>
        <w:t>备注：各指标</w:t>
      </w:r>
      <w:r>
        <w:rPr>
          <w:rFonts w:ascii="华文仿宋" w:hAnsi="华文仿宋" w:eastAsia="华文仿宋"/>
          <w:sz w:val="30"/>
          <w:szCs w:val="30"/>
        </w:rPr>
        <w:t>权重</w:t>
      </w:r>
      <w:r>
        <w:rPr>
          <w:rFonts w:hint="eastAsia" w:ascii="华文仿宋" w:hAnsi="华文仿宋" w:eastAsia="华文仿宋"/>
          <w:sz w:val="30"/>
          <w:szCs w:val="30"/>
        </w:rPr>
        <w:t>系数合计为100</w:t>
      </w:r>
      <w:r>
        <w:rPr>
          <w:rFonts w:hint="eastAsia" w:ascii="仿宋" w:hAnsi="仿宋" w:eastAsia="仿宋"/>
          <w:sz w:val="30"/>
          <w:szCs w:val="30"/>
        </w:rPr>
        <w:t>。</w:t>
      </w:r>
    </w:p>
    <w:p>
      <w:pPr>
        <w:spacing w:line="440" w:lineRule="exact"/>
        <w:rPr>
          <w:b/>
          <w:sz w:val="32"/>
          <w:szCs w:val="32"/>
        </w:rPr>
      </w:pPr>
      <w:r>
        <w:rPr>
          <w:rFonts w:ascii="仿宋" w:hAnsi="仿宋" w:eastAsia="仿宋"/>
          <w:sz w:val="30"/>
          <w:szCs w:val="30"/>
        </w:rPr>
        <w:br w:type="page"/>
      </w:r>
      <w:r>
        <w:rPr>
          <w:b/>
          <w:bCs/>
          <w:sz w:val="32"/>
          <w:szCs w:val="32"/>
        </w:rPr>
        <w:t xml:space="preserve"> </w:t>
      </w:r>
      <w:r>
        <w:rPr>
          <w:rFonts w:hAnsi="宋体"/>
          <w:b/>
          <w:sz w:val="32"/>
          <w:szCs w:val="32"/>
        </w:rPr>
        <w:t>附表</w:t>
      </w:r>
      <w:r>
        <w:rPr>
          <w:b/>
          <w:sz w:val="32"/>
          <w:szCs w:val="32"/>
        </w:rPr>
        <w:t>2</w:t>
      </w:r>
    </w:p>
    <w:p>
      <w:pPr>
        <w:tabs>
          <w:tab w:val="left" w:pos="3731"/>
        </w:tabs>
        <w:spacing w:line="440" w:lineRule="exact"/>
        <w:ind w:firstLine="543" w:firstLineChars="169"/>
        <w:jc w:val="center"/>
        <w:rPr>
          <w:b/>
          <w:sz w:val="32"/>
          <w:szCs w:val="32"/>
        </w:rPr>
      </w:pPr>
      <w:r>
        <w:rPr>
          <w:rFonts w:hAnsi="宋体"/>
          <w:b/>
          <w:sz w:val="32"/>
          <w:szCs w:val="32"/>
        </w:rPr>
        <w:t>人才培养计分标准</w:t>
      </w:r>
    </w:p>
    <w:p>
      <w:pPr>
        <w:tabs>
          <w:tab w:val="left" w:pos="3731"/>
        </w:tabs>
        <w:spacing w:line="440" w:lineRule="exact"/>
        <w:ind w:firstLine="543" w:firstLineChars="169"/>
        <w:jc w:val="center"/>
        <w:rPr>
          <w:b/>
          <w:sz w:val="32"/>
          <w:szCs w:val="32"/>
        </w:rPr>
      </w:pPr>
    </w:p>
    <w:tbl>
      <w:tblPr>
        <w:tblStyle w:val="5"/>
        <w:tblW w:w="11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545"/>
        <w:gridCol w:w="3260"/>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13"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545"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评价指标</w:t>
            </w:r>
          </w:p>
        </w:tc>
        <w:tc>
          <w:tcPr>
            <w:tcW w:w="326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分值</w:t>
            </w:r>
          </w:p>
        </w:tc>
        <w:tc>
          <w:tcPr>
            <w:tcW w:w="3544"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填表要求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制定了人才培养制度（或人才发展规划）</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z w:val="24"/>
                <w:szCs w:val="24"/>
                <w:lang w:eastAsia="zh-CN"/>
              </w:rPr>
              <w:t>计</w:t>
            </w:r>
            <w:r>
              <w:rPr>
                <w:rFonts w:hint="eastAsia" w:ascii="仿宋" w:hAnsi="仿宋" w:eastAsia="仿宋" w:cs="仿宋"/>
                <w:sz w:val="24"/>
                <w:szCs w:val="24"/>
              </w:rPr>
              <w:t>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经股东会或合伙人会议通过的人才培养制度的决议和人才培养制度填列。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根据本机构人才培养制度（或人才发展规划），制定了人才培养实施方案（或人才培养计划）</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z w:val="24"/>
                <w:szCs w:val="24"/>
                <w:lang w:eastAsia="zh-CN"/>
              </w:rPr>
              <w:t>计</w:t>
            </w:r>
            <w:r>
              <w:rPr>
                <w:rFonts w:hint="eastAsia" w:ascii="仿宋" w:hAnsi="仿宋" w:eastAsia="仿宋" w:cs="仿宋"/>
                <w:sz w:val="24"/>
                <w:szCs w:val="24"/>
              </w:rPr>
              <w:t>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经股东会或合伙人会议通过的人才培养实施方案的决议和在有效期间的人才培养实施方案填列。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人才培养支出占评估机构全部业务收入的比例</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每占比1%计1分，满分</w:t>
            </w:r>
            <w:r>
              <w:rPr>
                <w:rFonts w:hint="eastAsia" w:ascii="仿宋" w:hAnsi="仿宋" w:eastAsia="仿宋" w:cs="仿宋"/>
                <w:sz w:val="24"/>
                <w:szCs w:val="24"/>
                <w:lang w:eastAsia="zh-CN"/>
              </w:rPr>
              <w:t>为</w:t>
            </w:r>
            <w:r>
              <w:rPr>
                <w:rFonts w:hint="eastAsia" w:ascii="仿宋" w:hAnsi="仿宋" w:eastAsia="仿宋" w:cs="仿宋"/>
                <w:sz w:val="24"/>
                <w:szCs w:val="24"/>
              </w:rPr>
              <w:t>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按照当年评估机构人才培养实际支出金额和当年评估机构全部业务收入金额计算填列。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与高校建立合作机制并有效实施（有/无）</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z w:val="24"/>
                <w:szCs w:val="24"/>
                <w:lang w:eastAsia="zh-CN"/>
              </w:rPr>
              <w:t>计</w:t>
            </w:r>
            <w:r>
              <w:rPr>
                <w:rFonts w:hint="eastAsia" w:ascii="仿宋" w:hAnsi="仿宋" w:eastAsia="仿宋" w:cs="仿宋"/>
                <w:sz w:val="24"/>
                <w:szCs w:val="24"/>
              </w:rPr>
              <w:t>3分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经股东会或合伙人会议通过的相关决议和双方签署的合作文件填列。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设立专职部门或指定专门人员负责教育培训工作</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有，</w:t>
            </w:r>
            <w:r>
              <w:rPr>
                <w:rFonts w:hint="eastAsia" w:ascii="仿宋" w:hAnsi="仿宋" w:eastAsia="仿宋" w:cs="仿宋"/>
                <w:sz w:val="24"/>
                <w:szCs w:val="24"/>
                <w:lang w:eastAsia="zh-CN"/>
              </w:rPr>
              <w:t>计</w:t>
            </w:r>
            <w:r>
              <w:rPr>
                <w:rFonts w:hint="eastAsia" w:ascii="仿宋" w:hAnsi="仿宋" w:eastAsia="仿宋" w:cs="仿宋"/>
                <w:sz w:val="24"/>
                <w:szCs w:val="24"/>
              </w:rPr>
              <w:t>3分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经股东会或合伙人会议通过的相关决议和本机构组织结构情况填列。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1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本机构自行举办继续教育培训班</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每次</w:t>
            </w:r>
            <w:r>
              <w:rPr>
                <w:rFonts w:hint="eastAsia" w:ascii="仿宋" w:hAnsi="仿宋" w:eastAsia="仿宋" w:cs="仿宋"/>
                <w:sz w:val="24"/>
                <w:szCs w:val="24"/>
                <w:lang w:eastAsia="zh-CN"/>
              </w:rPr>
              <w:t>计</w:t>
            </w:r>
            <w:r>
              <w:rPr>
                <w:rFonts w:hint="eastAsia" w:ascii="仿宋" w:hAnsi="仿宋" w:eastAsia="仿宋" w:cs="仿宋"/>
                <w:sz w:val="24"/>
                <w:szCs w:val="24"/>
              </w:rPr>
              <w:t>1分，满分为5分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提供在协会备案的培训通知（明确培训时间、内容、老师）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13" w:type="dxa"/>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3545" w:type="dxa"/>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t>参加中评协的高端学习培训班（清华班、高端人才等培训班）</w:t>
            </w:r>
          </w:p>
        </w:tc>
        <w:tc>
          <w:tcPr>
            <w:tcW w:w="3260" w:type="dxa"/>
            <w:noWrap w:val="0"/>
            <w:vAlign w:val="center"/>
          </w:tcPr>
          <w:p>
            <w:pPr>
              <w:adjustRightInd w:val="0"/>
              <w:snapToGrid w:val="0"/>
              <w:rPr>
                <w:rFonts w:hint="eastAsia" w:ascii="仿宋" w:hAnsi="仿宋" w:eastAsia="仿宋" w:cs="仿宋"/>
                <w:sz w:val="24"/>
                <w:szCs w:val="24"/>
                <w:lang w:val="en-US" w:eastAsia="zh-CN"/>
              </w:rPr>
            </w:pPr>
            <w:r>
              <w:rPr>
                <w:rFonts w:hint="eastAsia" w:ascii="仿宋" w:hAnsi="仿宋" w:eastAsia="仿宋" w:cs="仿宋"/>
                <w:sz w:val="24"/>
                <w:szCs w:val="24"/>
                <w:lang w:eastAsia="zh-CN"/>
              </w:rPr>
              <w:t>每人次计</w:t>
            </w:r>
            <w:r>
              <w:rPr>
                <w:rFonts w:hint="eastAsia" w:ascii="仿宋" w:hAnsi="仿宋" w:eastAsia="仿宋" w:cs="仿宋"/>
                <w:sz w:val="24"/>
                <w:szCs w:val="24"/>
                <w:lang w:val="en-US" w:eastAsia="zh-CN"/>
              </w:rPr>
              <w:t>1分，满分为5分</w:t>
            </w:r>
          </w:p>
        </w:tc>
        <w:tc>
          <w:tcPr>
            <w:tcW w:w="3544" w:type="dxa"/>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t>提供培训班的报名表及来回机票等</w:t>
            </w:r>
            <w:r>
              <w:rPr>
                <w:rFonts w:hint="eastAsia" w:ascii="仿宋" w:hAnsi="仿宋" w:eastAsia="仿宋" w:cs="仿宋"/>
                <w:sz w:val="24"/>
                <w:szCs w:val="24"/>
              </w:rPr>
              <w:t>(依据培训通知)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62" w:type="dxa"/>
            <w:gridSpan w:val="4"/>
            <w:noWrap w:val="0"/>
            <w:vAlign w:val="center"/>
          </w:tcPr>
          <w:p>
            <w:pPr>
              <w:adjustRightInd w:val="0"/>
              <w:snapToGrid w:val="0"/>
              <w:rPr>
                <w:rFonts w:hint="eastAsia" w:ascii="仿宋" w:hAnsi="仿宋" w:eastAsia="仿宋" w:cs="仿宋"/>
                <w:b/>
                <w:sz w:val="24"/>
                <w:szCs w:val="24"/>
              </w:rPr>
            </w:pPr>
            <w:r>
              <w:rPr>
                <w:rFonts w:hint="eastAsia" w:ascii="仿宋" w:hAnsi="仿宋" w:eastAsia="仿宋" w:cs="仿宋"/>
                <w:b/>
                <w:sz w:val="24"/>
                <w:szCs w:val="24"/>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本评估机构年度资产评估师执业资格考试单科通过数量</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每1人通过1科，计1分，全科通过1人计5分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根据评估机构人事部门员工基本情况统计表和相应证明填列。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吸引人才措施：以员工年人均薪酬增长比例计算</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每增长1%，计1分，满分计5分</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根据评估机构财务报表和员工数量计算填列。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545"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年度新员工平均学历结构</w:t>
            </w:r>
          </w:p>
        </w:tc>
        <w:tc>
          <w:tcPr>
            <w:tcW w:w="3260"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得分=（博士研究生数量×8+硕士研究生数量×6+本科生数量×4+本科学历以下数量×2）/（博士研究生数量+硕士研究生数量+本科生数量+本科学历以下数量）</w:t>
            </w:r>
          </w:p>
        </w:tc>
        <w:tc>
          <w:tcPr>
            <w:tcW w:w="3544" w:type="dxa"/>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根据年度新入员工统计表及学历证明材料填列。</w:t>
            </w:r>
          </w:p>
        </w:tc>
      </w:tr>
    </w:tbl>
    <w:p>
      <w:pPr>
        <w:spacing w:line="440" w:lineRule="exact"/>
        <w:rPr>
          <w:sz w:val="32"/>
          <w:szCs w:val="32"/>
        </w:rPr>
      </w:pPr>
      <w:r>
        <w:rPr>
          <w:rFonts w:hint="eastAsia" w:ascii="仿宋" w:hAnsi="仿宋" w:eastAsia="仿宋" w:cs="仿宋"/>
          <w:sz w:val="24"/>
          <w:szCs w:val="24"/>
        </w:rPr>
        <w:t>注：以上所计分事项应提供相关证明材料复印件。</w:t>
      </w:r>
      <w:r>
        <w:br w:type="page"/>
      </w:r>
      <w:r>
        <w:rPr>
          <w:rFonts w:hAnsi="宋体"/>
          <w:b/>
          <w:bCs/>
          <w:sz w:val="32"/>
          <w:szCs w:val="32"/>
        </w:rPr>
        <w:t>附表</w:t>
      </w:r>
      <w:r>
        <w:rPr>
          <w:b/>
          <w:bCs/>
          <w:sz w:val="32"/>
          <w:szCs w:val="32"/>
        </w:rPr>
        <w:t>3</w:t>
      </w:r>
      <w:r>
        <w:rPr>
          <w:rFonts w:hAnsi="宋体"/>
          <w:b/>
          <w:bCs/>
          <w:sz w:val="32"/>
          <w:szCs w:val="32"/>
        </w:rPr>
        <w:t>：</w:t>
      </w:r>
    </w:p>
    <w:p>
      <w:pPr>
        <w:pStyle w:val="2"/>
        <w:spacing w:line="415" w:lineRule="auto"/>
        <w:jc w:val="center"/>
        <w:rPr>
          <w:rFonts w:ascii="Times New Roman" w:hAnsi="Times New Roman" w:cs="Times New Roman"/>
          <w:sz w:val="32"/>
          <w:szCs w:val="32"/>
        </w:rPr>
      </w:pPr>
      <w:r>
        <w:rPr>
          <w:rFonts w:ascii="Times New Roman" w:cs="Times New Roman"/>
          <w:bCs w:val="0"/>
          <w:sz w:val="32"/>
          <w:szCs w:val="32"/>
        </w:rPr>
        <w:t>诚信记录</w:t>
      </w:r>
      <w:r>
        <w:rPr>
          <w:rFonts w:ascii="Times New Roman" w:hAnsi="Times New Roman" w:cs="Times New Roman"/>
          <w:bCs w:val="0"/>
          <w:sz w:val="32"/>
          <w:szCs w:val="32"/>
        </w:rPr>
        <w:t>--</w:t>
      </w:r>
      <w:r>
        <w:rPr>
          <w:rFonts w:ascii="Times New Roman" w:cs="Times New Roman"/>
          <w:bCs w:val="0"/>
          <w:sz w:val="32"/>
          <w:szCs w:val="32"/>
        </w:rPr>
        <w:t>执业质量减分</w:t>
      </w:r>
      <w:r>
        <w:rPr>
          <w:rFonts w:ascii="Times New Roman" w:cs="Times New Roman"/>
          <w:sz w:val="32"/>
          <w:szCs w:val="32"/>
        </w:rPr>
        <w:t>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20"/>
        <w:gridCol w:w="1134"/>
        <w:gridCol w:w="1134"/>
        <w:gridCol w:w="1134"/>
        <w:gridCol w:w="1134"/>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restart"/>
            <w:noWrap w:val="0"/>
            <w:vAlign w:val="center"/>
          </w:tcPr>
          <w:p>
            <w:pPr>
              <w:snapToGrid w:val="0"/>
              <w:spacing w:line="440" w:lineRule="exact"/>
              <w:jc w:val="center"/>
              <w:rPr>
                <w:sz w:val="24"/>
              </w:rPr>
            </w:pPr>
            <w:r>
              <w:rPr>
                <w:rFonts w:hAnsi="宋体"/>
                <w:sz w:val="24"/>
              </w:rPr>
              <w:t>类</w:t>
            </w:r>
          </w:p>
          <w:p>
            <w:pPr>
              <w:snapToGrid w:val="0"/>
              <w:spacing w:line="440" w:lineRule="exact"/>
              <w:jc w:val="center"/>
              <w:rPr>
                <w:sz w:val="24"/>
              </w:rPr>
            </w:pPr>
            <w:r>
              <w:rPr>
                <w:rFonts w:hAnsi="宋体"/>
                <w:sz w:val="24"/>
              </w:rPr>
              <w:t>别</w:t>
            </w:r>
          </w:p>
        </w:tc>
        <w:tc>
          <w:tcPr>
            <w:tcW w:w="2220" w:type="dxa"/>
            <w:vMerge w:val="restart"/>
            <w:noWrap w:val="0"/>
            <w:vAlign w:val="center"/>
          </w:tcPr>
          <w:p>
            <w:pPr>
              <w:snapToGrid w:val="0"/>
              <w:spacing w:line="440" w:lineRule="exact"/>
              <w:jc w:val="center"/>
              <w:rPr>
                <w:sz w:val="24"/>
              </w:rPr>
            </w:pPr>
            <w:r>
              <w:rPr>
                <w:rFonts w:hAnsi="宋体"/>
                <w:sz w:val="24"/>
              </w:rPr>
              <w:t>项目</w:t>
            </w:r>
          </w:p>
        </w:tc>
        <w:tc>
          <w:tcPr>
            <w:tcW w:w="5727" w:type="dxa"/>
            <w:gridSpan w:val="5"/>
            <w:noWrap w:val="0"/>
            <w:vAlign w:val="center"/>
          </w:tcPr>
          <w:p>
            <w:pPr>
              <w:snapToGrid w:val="0"/>
              <w:spacing w:line="440" w:lineRule="exact"/>
              <w:jc w:val="center"/>
              <w:rPr>
                <w:sz w:val="24"/>
              </w:rPr>
            </w:pPr>
            <w:r>
              <w:rPr>
                <w:rFonts w:hAnsi="宋体"/>
                <w:sz w:val="24"/>
              </w:rPr>
              <w:t>受处罚或惩戒的年度及对应减分值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jc w:val="center"/>
              <w:rPr>
                <w:sz w:val="24"/>
              </w:rPr>
            </w:pPr>
          </w:p>
        </w:tc>
        <w:tc>
          <w:tcPr>
            <w:tcW w:w="2220" w:type="dxa"/>
            <w:vMerge w:val="continue"/>
            <w:noWrap w:val="0"/>
            <w:vAlign w:val="center"/>
          </w:tcPr>
          <w:p>
            <w:pPr>
              <w:snapToGrid w:val="0"/>
              <w:spacing w:line="440" w:lineRule="exact"/>
              <w:jc w:val="center"/>
              <w:rPr>
                <w:sz w:val="24"/>
              </w:rPr>
            </w:pPr>
          </w:p>
        </w:tc>
        <w:tc>
          <w:tcPr>
            <w:tcW w:w="1134" w:type="dxa"/>
            <w:noWrap w:val="0"/>
            <w:vAlign w:val="center"/>
          </w:tcPr>
          <w:p>
            <w:pPr>
              <w:snapToGrid w:val="0"/>
              <w:spacing w:line="440" w:lineRule="exact"/>
              <w:jc w:val="center"/>
              <w:rPr>
                <w:sz w:val="24"/>
              </w:rPr>
            </w:pPr>
            <w:r>
              <w:rPr>
                <w:rFonts w:hAnsi="宋体"/>
                <w:sz w:val="24"/>
              </w:rPr>
              <w:t>前</w:t>
            </w:r>
            <w:r>
              <w:rPr>
                <w:sz w:val="24"/>
              </w:rPr>
              <w:t>4</w:t>
            </w:r>
            <w:r>
              <w:rPr>
                <w:rFonts w:hAnsi="宋体"/>
                <w:sz w:val="24"/>
              </w:rPr>
              <w:t>年</w:t>
            </w:r>
          </w:p>
        </w:tc>
        <w:tc>
          <w:tcPr>
            <w:tcW w:w="1134" w:type="dxa"/>
            <w:noWrap w:val="0"/>
            <w:vAlign w:val="center"/>
          </w:tcPr>
          <w:p>
            <w:pPr>
              <w:snapToGrid w:val="0"/>
              <w:spacing w:line="440" w:lineRule="exact"/>
              <w:jc w:val="center"/>
              <w:rPr>
                <w:sz w:val="24"/>
              </w:rPr>
            </w:pPr>
            <w:r>
              <w:rPr>
                <w:rFonts w:hAnsi="宋体"/>
                <w:sz w:val="24"/>
              </w:rPr>
              <w:t>前</w:t>
            </w:r>
            <w:r>
              <w:rPr>
                <w:sz w:val="24"/>
              </w:rPr>
              <w:t>3</w:t>
            </w:r>
            <w:r>
              <w:rPr>
                <w:rFonts w:hAnsi="宋体"/>
                <w:sz w:val="24"/>
              </w:rPr>
              <w:t>年</w:t>
            </w:r>
          </w:p>
        </w:tc>
        <w:tc>
          <w:tcPr>
            <w:tcW w:w="1134" w:type="dxa"/>
            <w:noWrap w:val="0"/>
            <w:vAlign w:val="center"/>
          </w:tcPr>
          <w:p>
            <w:pPr>
              <w:snapToGrid w:val="0"/>
              <w:spacing w:line="440" w:lineRule="exact"/>
              <w:jc w:val="center"/>
              <w:rPr>
                <w:sz w:val="24"/>
              </w:rPr>
            </w:pPr>
            <w:r>
              <w:rPr>
                <w:rFonts w:hAnsi="宋体"/>
                <w:sz w:val="24"/>
              </w:rPr>
              <w:t>前</w:t>
            </w:r>
            <w:r>
              <w:rPr>
                <w:sz w:val="24"/>
              </w:rPr>
              <w:t>2</w:t>
            </w:r>
            <w:r>
              <w:rPr>
                <w:rFonts w:hAnsi="宋体"/>
                <w:sz w:val="24"/>
              </w:rPr>
              <w:t>年</w:t>
            </w:r>
          </w:p>
        </w:tc>
        <w:tc>
          <w:tcPr>
            <w:tcW w:w="1134" w:type="dxa"/>
            <w:noWrap w:val="0"/>
            <w:vAlign w:val="center"/>
          </w:tcPr>
          <w:p>
            <w:pPr>
              <w:snapToGrid w:val="0"/>
              <w:spacing w:line="440" w:lineRule="exact"/>
              <w:jc w:val="center"/>
              <w:rPr>
                <w:sz w:val="24"/>
              </w:rPr>
            </w:pPr>
            <w:r>
              <w:rPr>
                <w:rFonts w:hAnsi="宋体"/>
                <w:sz w:val="24"/>
              </w:rPr>
              <w:t>前</w:t>
            </w:r>
            <w:r>
              <w:rPr>
                <w:sz w:val="24"/>
              </w:rPr>
              <w:t>1</w:t>
            </w:r>
            <w:r>
              <w:rPr>
                <w:rFonts w:hAnsi="宋体"/>
                <w:sz w:val="24"/>
              </w:rPr>
              <w:t>年</w:t>
            </w:r>
          </w:p>
        </w:tc>
        <w:tc>
          <w:tcPr>
            <w:tcW w:w="1191" w:type="dxa"/>
            <w:noWrap w:val="0"/>
            <w:vAlign w:val="center"/>
          </w:tcPr>
          <w:p>
            <w:pPr>
              <w:snapToGrid w:val="0"/>
              <w:spacing w:line="440" w:lineRule="exact"/>
              <w:jc w:val="center"/>
              <w:rPr>
                <w:sz w:val="24"/>
              </w:rPr>
            </w:pPr>
            <w:r>
              <w:rPr>
                <w:rFonts w:hAnsi="宋体"/>
                <w:sz w:val="24"/>
              </w:rPr>
              <w:t>评价年度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restart"/>
            <w:noWrap w:val="0"/>
            <w:textDirection w:val="tbRlV"/>
            <w:vAlign w:val="center"/>
          </w:tcPr>
          <w:p>
            <w:pPr>
              <w:snapToGrid w:val="0"/>
              <w:spacing w:line="440" w:lineRule="exact"/>
              <w:jc w:val="center"/>
              <w:rPr>
                <w:sz w:val="24"/>
              </w:rPr>
            </w:pPr>
            <w:r>
              <w:rPr>
                <w:rFonts w:hAnsi="宋体"/>
                <w:sz w:val="24"/>
              </w:rPr>
              <w:t>行政处罚</w:t>
            </w:r>
          </w:p>
        </w:tc>
        <w:tc>
          <w:tcPr>
            <w:tcW w:w="2220" w:type="dxa"/>
            <w:noWrap w:val="0"/>
            <w:vAlign w:val="center"/>
          </w:tcPr>
          <w:p>
            <w:pPr>
              <w:snapToGrid w:val="0"/>
              <w:spacing w:line="440" w:lineRule="exact"/>
              <w:jc w:val="center"/>
              <w:rPr>
                <w:sz w:val="24"/>
              </w:rPr>
            </w:pPr>
            <w:r>
              <w:rPr>
                <w:rFonts w:hAnsi="宋体"/>
                <w:sz w:val="24"/>
              </w:rPr>
              <w:t>警告</w:t>
            </w:r>
          </w:p>
        </w:tc>
        <w:tc>
          <w:tcPr>
            <w:tcW w:w="1134" w:type="dxa"/>
            <w:noWrap w:val="0"/>
            <w:vAlign w:val="center"/>
          </w:tcPr>
          <w:p>
            <w:pPr>
              <w:ind w:firstLine="480"/>
              <w:jc w:val="center"/>
              <w:rPr>
                <w:color w:val="000000"/>
                <w:sz w:val="24"/>
              </w:rPr>
            </w:pPr>
            <w:r>
              <w:rPr>
                <w:color w:val="000000"/>
                <w:sz w:val="24"/>
              </w:rPr>
              <w:t>3</w:t>
            </w:r>
          </w:p>
        </w:tc>
        <w:tc>
          <w:tcPr>
            <w:tcW w:w="1134" w:type="dxa"/>
            <w:noWrap w:val="0"/>
            <w:vAlign w:val="center"/>
          </w:tcPr>
          <w:p>
            <w:pPr>
              <w:ind w:firstLine="480"/>
              <w:jc w:val="center"/>
              <w:rPr>
                <w:color w:val="000000"/>
                <w:sz w:val="24"/>
              </w:rPr>
            </w:pPr>
            <w:r>
              <w:rPr>
                <w:color w:val="000000"/>
                <w:sz w:val="24"/>
              </w:rPr>
              <w:t>6</w:t>
            </w:r>
          </w:p>
        </w:tc>
        <w:tc>
          <w:tcPr>
            <w:tcW w:w="1134" w:type="dxa"/>
            <w:noWrap w:val="0"/>
            <w:vAlign w:val="center"/>
          </w:tcPr>
          <w:p>
            <w:pPr>
              <w:ind w:firstLine="480"/>
              <w:jc w:val="center"/>
              <w:rPr>
                <w:color w:val="000000"/>
                <w:sz w:val="24"/>
              </w:rPr>
            </w:pPr>
            <w:r>
              <w:rPr>
                <w:color w:val="000000"/>
                <w:sz w:val="24"/>
              </w:rPr>
              <w:t>10</w:t>
            </w:r>
          </w:p>
        </w:tc>
        <w:tc>
          <w:tcPr>
            <w:tcW w:w="1134" w:type="dxa"/>
            <w:noWrap w:val="0"/>
            <w:vAlign w:val="center"/>
          </w:tcPr>
          <w:p>
            <w:pPr>
              <w:ind w:firstLine="480"/>
              <w:jc w:val="center"/>
              <w:rPr>
                <w:color w:val="000000"/>
                <w:sz w:val="24"/>
              </w:rPr>
            </w:pPr>
            <w:r>
              <w:rPr>
                <w:color w:val="000000"/>
                <w:sz w:val="24"/>
              </w:rPr>
              <w:t>13</w:t>
            </w:r>
          </w:p>
        </w:tc>
        <w:tc>
          <w:tcPr>
            <w:tcW w:w="1191" w:type="dxa"/>
            <w:noWrap w:val="0"/>
            <w:vAlign w:val="center"/>
          </w:tcPr>
          <w:p>
            <w:pPr>
              <w:ind w:firstLine="480"/>
              <w:jc w:val="center"/>
              <w:rPr>
                <w:color w:val="000000"/>
                <w:sz w:val="24"/>
              </w:rPr>
            </w:pPr>
            <w:r>
              <w:rPr>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罚款</w:t>
            </w:r>
          </w:p>
        </w:tc>
        <w:tc>
          <w:tcPr>
            <w:tcW w:w="1134" w:type="dxa"/>
            <w:noWrap w:val="0"/>
            <w:vAlign w:val="center"/>
          </w:tcPr>
          <w:p>
            <w:pPr>
              <w:ind w:firstLine="480"/>
              <w:jc w:val="center"/>
              <w:rPr>
                <w:color w:val="000000"/>
                <w:sz w:val="24"/>
              </w:rPr>
            </w:pPr>
            <w:r>
              <w:rPr>
                <w:color w:val="000000"/>
                <w:sz w:val="24"/>
              </w:rPr>
              <w:t>4</w:t>
            </w:r>
          </w:p>
        </w:tc>
        <w:tc>
          <w:tcPr>
            <w:tcW w:w="1134" w:type="dxa"/>
            <w:noWrap w:val="0"/>
            <w:vAlign w:val="center"/>
          </w:tcPr>
          <w:p>
            <w:pPr>
              <w:ind w:firstLine="480"/>
              <w:jc w:val="center"/>
              <w:rPr>
                <w:color w:val="000000"/>
                <w:sz w:val="24"/>
              </w:rPr>
            </w:pPr>
            <w:r>
              <w:rPr>
                <w:color w:val="000000"/>
                <w:sz w:val="24"/>
              </w:rPr>
              <w:t>8</w:t>
            </w:r>
          </w:p>
        </w:tc>
        <w:tc>
          <w:tcPr>
            <w:tcW w:w="1134" w:type="dxa"/>
            <w:noWrap w:val="0"/>
            <w:vAlign w:val="center"/>
          </w:tcPr>
          <w:p>
            <w:pPr>
              <w:ind w:firstLine="480"/>
              <w:jc w:val="center"/>
              <w:rPr>
                <w:color w:val="000000"/>
                <w:sz w:val="24"/>
              </w:rPr>
            </w:pPr>
            <w:r>
              <w:rPr>
                <w:color w:val="000000"/>
                <w:sz w:val="24"/>
              </w:rPr>
              <w:t>12</w:t>
            </w:r>
          </w:p>
        </w:tc>
        <w:tc>
          <w:tcPr>
            <w:tcW w:w="1134" w:type="dxa"/>
            <w:noWrap w:val="0"/>
            <w:vAlign w:val="center"/>
          </w:tcPr>
          <w:p>
            <w:pPr>
              <w:ind w:firstLine="480"/>
              <w:jc w:val="center"/>
              <w:rPr>
                <w:color w:val="000000"/>
                <w:sz w:val="24"/>
              </w:rPr>
            </w:pPr>
            <w:r>
              <w:rPr>
                <w:color w:val="000000"/>
                <w:sz w:val="24"/>
              </w:rPr>
              <w:t>16</w:t>
            </w:r>
          </w:p>
        </w:tc>
        <w:tc>
          <w:tcPr>
            <w:tcW w:w="1191" w:type="dxa"/>
            <w:noWrap w:val="0"/>
            <w:vAlign w:val="center"/>
          </w:tcPr>
          <w:p>
            <w:pPr>
              <w:ind w:firstLine="480"/>
              <w:jc w:val="center"/>
              <w:rPr>
                <w:color w:val="000000"/>
                <w:sz w:val="24"/>
              </w:rPr>
            </w:pPr>
            <w:r>
              <w:rPr>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没收非法所得</w:t>
            </w:r>
          </w:p>
        </w:tc>
        <w:tc>
          <w:tcPr>
            <w:tcW w:w="1134" w:type="dxa"/>
            <w:noWrap w:val="0"/>
            <w:vAlign w:val="center"/>
          </w:tcPr>
          <w:p>
            <w:pPr>
              <w:ind w:firstLine="480"/>
              <w:jc w:val="center"/>
              <w:rPr>
                <w:color w:val="000000"/>
                <w:sz w:val="24"/>
              </w:rPr>
            </w:pPr>
            <w:r>
              <w:rPr>
                <w:color w:val="000000"/>
                <w:sz w:val="24"/>
              </w:rPr>
              <w:t>6</w:t>
            </w:r>
          </w:p>
        </w:tc>
        <w:tc>
          <w:tcPr>
            <w:tcW w:w="1134" w:type="dxa"/>
            <w:noWrap w:val="0"/>
            <w:vAlign w:val="center"/>
          </w:tcPr>
          <w:p>
            <w:pPr>
              <w:ind w:firstLine="480"/>
              <w:jc w:val="center"/>
              <w:rPr>
                <w:color w:val="000000"/>
                <w:sz w:val="24"/>
              </w:rPr>
            </w:pPr>
            <w:r>
              <w:rPr>
                <w:color w:val="000000"/>
                <w:sz w:val="24"/>
              </w:rPr>
              <w:t>12</w:t>
            </w:r>
          </w:p>
        </w:tc>
        <w:tc>
          <w:tcPr>
            <w:tcW w:w="1134" w:type="dxa"/>
            <w:noWrap w:val="0"/>
            <w:vAlign w:val="center"/>
          </w:tcPr>
          <w:p>
            <w:pPr>
              <w:ind w:firstLine="480"/>
              <w:jc w:val="center"/>
              <w:rPr>
                <w:color w:val="000000"/>
                <w:sz w:val="24"/>
              </w:rPr>
            </w:pPr>
            <w:r>
              <w:rPr>
                <w:color w:val="000000"/>
                <w:sz w:val="24"/>
              </w:rPr>
              <w:t>18</w:t>
            </w:r>
          </w:p>
        </w:tc>
        <w:tc>
          <w:tcPr>
            <w:tcW w:w="1134" w:type="dxa"/>
            <w:noWrap w:val="0"/>
            <w:vAlign w:val="center"/>
          </w:tcPr>
          <w:p>
            <w:pPr>
              <w:ind w:firstLine="480"/>
              <w:jc w:val="center"/>
              <w:rPr>
                <w:color w:val="000000"/>
                <w:sz w:val="24"/>
              </w:rPr>
            </w:pPr>
            <w:r>
              <w:rPr>
                <w:color w:val="000000"/>
                <w:sz w:val="24"/>
              </w:rPr>
              <w:t>24</w:t>
            </w:r>
          </w:p>
        </w:tc>
        <w:tc>
          <w:tcPr>
            <w:tcW w:w="1191" w:type="dxa"/>
            <w:noWrap w:val="0"/>
            <w:vAlign w:val="center"/>
          </w:tcPr>
          <w:p>
            <w:pPr>
              <w:ind w:firstLine="480"/>
              <w:jc w:val="center"/>
              <w:rPr>
                <w:color w:val="000000"/>
                <w:sz w:val="24"/>
              </w:rPr>
            </w:pPr>
            <w:r>
              <w:rPr>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暂停执业</w:t>
            </w:r>
          </w:p>
        </w:tc>
        <w:tc>
          <w:tcPr>
            <w:tcW w:w="1134" w:type="dxa"/>
            <w:noWrap w:val="0"/>
            <w:vAlign w:val="center"/>
          </w:tcPr>
          <w:p>
            <w:pPr>
              <w:ind w:firstLine="480"/>
              <w:jc w:val="center"/>
              <w:rPr>
                <w:color w:val="000000"/>
                <w:sz w:val="24"/>
              </w:rPr>
            </w:pPr>
            <w:r>
              <w:rPr>
                <w:color w:val="000000"/>
                <w:sz w:val="24"/>
              </w:rPr>
              <w:t>8</w:t>
            </w:r>
          </w:p>
        </w:tc>
        <w:tc>
          <w:tcPr>
            <w:tcW w:w="1134" w:type="dxa"/>
            <w:noWrap w:val="0"/>
            <w:vAlign w:val="center"/>
          </w:tcPr>
          <w:p>
            <w:pPr>
              <w:ind w:firstLine="480"/>
              <w:jc w:val="center"/>
              <w:rPr>
                <w:color w:val="000000"/>
                <w:sz w:val="24"/>
              </w:rPr>
            </w:pPr>
            <w:r>
              <w:rPr>
                <w:color w:val="000000"/>
                <w:sz w:val="24"/>
              </w:rPr>
              <w:t>16</w:t>
            </w:r>
          </w:p>
        </w:tc>
        <w:tc>
          <w:tcPr>
            <w:tcW w:w="1134" w:type="dxa"/>
            <w:noWrap w:val="0"/>
            <w:vAlign w:val="center"/>
          </w:tcPr>
          <w:p>
            <w:pPr>
              <w:ind w:firstLine="480"/>
              <w:jc w:val="center"/>
              <w:rPr>
                <w:color w:val="000000"/>
                <w:sz w:val="24"/>
              </w:rPr>
            </w:pPr>
            <w:r>
              <w:rPr>
                <w:color w:val="000000"/>
                <w:sz w:val="24"/>
              </w:rPr>
              <w:t>24</w:t>
            </w:r>
          </w:p>
        </w:tc>
        <w:tc>
          <w:tcPr>
            <w:tcW w:w="1134" w:type="dxa"/>
            <w:noWrap w:val="0"/>
            <w:vAlign w:val="center"/>
          </w:tcPr>
          <w:p>
            <w:pPr>
              <w:ind w:firstLine="480"/>
              <w:jc w:val="center"/>
              <w:rPr>
                <w:color w:val="000000"/>
                <w:sz w:val="24"/>
              </w:rPr>
            </w:pPr>
            <w:r>
              <w:rPr>
                <w:color w:val="000000"/>
                <w:sz w:val="24"/>
              </w:rPr>
              <w:t>32</w:t>
            </w:r>
          </w:p>
        </w:tc>
        <w:tc>
          <w:tcPr>
            <w:tcW w:w="1191" w:type="dxa"/>
            <w:noWrap w:val="0"/>
            <w:vAlign w:val="center"/>
          </w:tcPr>
          <w:p>
            <w:pPr>
              <w:ind w:firstLine="480"/>
              <w:jc w:val="center"/>
              <w:rPr>
                <w:color w:val="000000"/>
                <w:sz w:val="24"/>
              </w:rPr>
            </w:pPr>
            <w:r>
              <w:rPr>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959" w:type="dxa"/>
            <w:vMerge w:val="restart"/>
            <w:noWrap w:val="0"/>
            <w:textDirection w:val="tbRlV"/>
            <w:vAlign w:val="center"/>
          </w:tcPr>
          <w:p>
            <w:pPr>
              <w:snapToGrid w:val="0"/>
              <w:spacing w:line="440" w:lineRule="exact"/>
              <w:jc w:val="center"/>
              <w:rPr>
                <w:sz w:val="24"/>
              </w:rPr>
            </w:pPr>
            <w:r>
              <w:rPr>
                <w:rFonts w:hAnsi="宋体"/>
                <w:sz w:val="24"/>
              </w:rPr>
              <w:t>自律惩戒</w:t>
            </w:r>
          </w:p>
        </w:tc>
        <w:tc>
          <w:tcPr>
            <w:tcW w:w="2220" w:type="dxa"/>
            <w:noWrap w:val="0"/>
            <w:vAlign w:val="center"/>
          </w:tcPr>
          <w:p>
            <w:pPr>
              <w:snapToGrid w:val="0"/>
              <w:spacing w:line="440" w:lineRule="exact"/>
              <w:jc w:val="center"/>
              <w:rPr>
                <w:sz w:val="24"/>
              </w:rPr>
            </w:pPr>
            <w:r>
              <w:rPr>
                <w:rFonts w:hAnsi="宋体"/>
                <w:sz w:val="24"/>
              </w:rPr>
              <w:t>警告</w:t>
            </w:r>
          </w:p>
        </w:tc>
        <w:tc>
          <w:tcPr>
            <w:tcW w:w="1134" w:type="dxa"/>
            <w:noWrap w:val="0"/>
            <w:vAlign w:val="center"/>
          </w:tcPr>
          <w:p>
            <w:pPr>
              <w:ind w:firstLine="480"/>
              <w:jc w:val="center"/>
              <w:rPr>
                <w:color w:val="000000"/>
                <w:sz w:val="24"/>
              </w:rPr>
            </w:pPr>
            <w:r>
              <w:rPr>
                <w:color w:val="000000"/>
                <w:sz w:val="24"/>
              </w:rPr>
              <w:t>2</w:t>
            </w:r>
          </w:p>
        </w:tc>
        <w:tc>
          <w:tcPr>
            <w:tcW w:w="1134" w:type="dxa"/>
            <w:noWrap w:val="0"/>
            <w:vAlign w:val="center"/>
          </w:tcPr>
          <w:p>
            <w:pPr>
              <w:ind w:firstLine="480"/>
              <w:jc w:val="center"/>
              <w:rPr>
                <w:color w:val="000000"/>
                <w:sz w:val="24"/>
              </w:rPr>
            </w:pPr>
            <w:r>
              <w:rPr>
                <w:color w:val="000000"/>
                <w:sz w:val="24"/>
              </w:rPr>
              <w:t>3</w:t>
            </w:r>
          </w:p>
        </w:tc>
        <w:tc>
          <w:tcPr>
            <w:tcW w:w="1134" w:type="dxa"/>
            <w:noWrap w:val="0"/>
            <w:vAlign w:val="center"/>
          </w:tcPr>
          <w:p>
            <w:pPr>
              <w:ind w:firstLine="480"/>
              <w:jc w:val="center"/>
              <w:rPr>
                <w:color w:val="000000"/>
                <w:sz w:val="24"/>
              </w:rPr>
            </w:pPr>
            <w:r>
              <w:rPr>
                <w:color w:val="000000"/>
                <w:sz w:val="24"/>
              </w:rPr>
              <w:t>5</w:t>
            </w:r>
          </w:p>
        </w:tc>
        <w:tc>
          <w:tcPr>
            <w:tcW w:w="1134" w:type="dxa"/>
            <w:noWrap w:val="0"/>
            <w:vAlign w:val="center"/>
          </w:tcPr>
          <w:p>
            <w:pPr>
              <w:ind w:firstLine="480"/>
              <w:jc w:val="center"/>
              <w:rPr>
                <w:color w:val="000000"/>
                <w:sz w:val="24"/>
              </w:rPr>
            </w:pPr>
            <w:r>
              <w:rPr>
                <w:color w:val="000000"/>
                <w:sz w:val="24"/>
              </w:rPr>
              <w:t>6</w:t>
            </w:r>
          </w:p>
        </w:tc>
        <w:tc>
          <w:tcPr>
            <w:tcW w:w="1191" w:type="dxa"/>
            <w:noWrap w:val="0"/>
            <w:vAlign w:val="center"/>
          </w:tcPr>
          <w:p>
            <w:pPr>
              <w:ind w:firstLine="480"/>
              <w:jc w:val="center"/>
              <w:rPr>
                <w:color w:val="000000"/>
                <w:sz w:val="24"/>
              </w:rPr>
            </w:pPr>
            <w:r>
              <w:rPr>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textDirection w:val="tbRlV"/>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限期整改</w:t>
            </w:r>
          </w:p>
        </w:tc>
        <w:tc>
          <w:tcPr>
            <w:tcW w:w="1134" w:type="dxa"/>
            <w:noWrap w:val="0"/>
            <w:vAlign w:val="center"/>
          </w:tcPr>
          <w:p>
            <w:pPr>
              <w:ind w:firstLine="480"/>
              <w:jc w:val="center"/>
              <w:rPr>
                <w:color w:val="000000"/>
                <w:sz w:val="24"/>
              </w:rPr>
            </w:pPr>
            <w:r>
              <w:rPr>
                <w:color w:val="000000"/>
                <w:sz w:val="24"/>
              </w:rPr>
              <w:t>2</w:t>
            </w:r>
          </w:p>
        </w:tc>
        <w:tc>
          <w:tcPr>
            <w:tcW w:w="1134" w:type="dxa"/>
            <w:noWrap w:val="0"/>
            <w:vAlign w:val="center"/>
          </w:tcPr>
          <w:p>
            <w:pPr>
              <w:ind w:firstLine="480"/>
              <w:jc w:val="center"/>
              <w:rPr>
                <w:color w:val="000000"/>
                <w:sz w:val="24"/>
              </w:rPr>
            </w:pPr>
            <w:r>
              <w:rPr>
                <w:color w:val="000000"/>
                <w:sz w:val="24"/>
              </w:rPr>
              <w:t>5</w:t>
            </w:r>
          </w:p>
        </w:tc>
        <w:tc>
          <w:tcPr>
            <w:tcW w:w="1134" w:type="dxa"/>
            <w:noWrap w:val="0"/>
            <w:vAlign w:val="center"/>
          </w:tcPr>
          <w:p>
            <w:pPr>
              <w:ind w:firstLine="480"/>
              <w:jc w:val="center"/>
              <w:rPr>
                <w:color w:val="000000"/>
                <w:sz w:val="24"/>
              </w:rPr>
            </w:pPr>
            <w:r>
              <w:rPr>
                <w:color w:val="000000"/>
                <w:sz w:val="24"/>
              </w:rPr>
              <w:t>7</w:t>
            </w:r>
          </w:p>
        </w:tc>
        <w:tc>
          <w:tcPr>
            <w:tcW w:w="1134" w:type="dxa"/>
            <w:noWrap w:val="0"/>
            <w:vAlign w:val="center"/>
          </w:tcPr>
          <w:p>
            <w:pPr>
              <w:ind w:firstLine="480"/>
              <w:jc w:val="center"/>
              <w:rPr>
                <w:color w:val="000000"/>
                <w:sz w:val="24"/>
              </w:rPr>
            </w:pPr>
            <w:r>
              <w:rPr>
                <w:color w:val="000000"/>
                <w:sz w:val="24"/>
              </w:rPr>
              <w:t>10</w:t>
            </w:r>
          </w:p>
        </w:tc>
        <w:tc>
          <w:tcPr>
            <w:tcW w:w="1191" w:type="dxa"/>
            <w:noWrap w:val="0"/>
            <w:vAlign w:val="center"/>
          </w:tcPr>
          <w:p>
            <w:pPr>
              <w:ind w:firstLine="480"/>
              <w:jc w:val="center"/>
              <w:rPr>
                <w:color w:val="000000"/>
                <w:sz w:val="24"/>
              </w:rPr>
            </w:pPr>
            <w:r>
              <w:rPr>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行业内通报批评</w:t>
            </w:r>
          </w:p>
        </w:tc>
        <w:tc>
          <w:tcPr>
            <w:tcW w:w="1134" w:type="dxa"/>
            <w:noWrap w:val="0"/>
            <w:vAlign w:val="center"/>
          </w:tcPr>
          <w:p>
            <w:pPr>
              <w:ind w:firstLine="480"/>
              <w:jc w:val="center"/>
              <w:rPr>
                <w:color w:val="000000"/>
                <w:sz w:val="24"/>
              </w:rPr>
            </w:pPr>
            <w:r>
              <w:rPr>
                <w:color w:val="000000"/>
                <w:sz w:val="24"/>
              </w:rPr>
              <w:t>4</w:t>
            </w:r>
          </w:p>
        </w:tc>
        <w:tc>
          <w:tcPr>
            <w:tcW w:w="1134" w:type="dxa"/>
            <w:noWrap w:val="0"/>
            <w:vAlign w:val="center"/>
          </w:tcPr>
          <w:p>
            <w:pPr>
              <w:ind w:firstLine="480"/>
              <w:jc w:val="center"/>
              <w:rPr>
                <w:color w:val="000000"/>
                <w:sz w:val="24"/>
              </w:rPr>
            </w:pPr>
            <w:r>
              <w:rPr>
                <w:color w:val="000000"/>
                <w:sz w:val="24"/>
              </w:rPr>
              <w:t>8</w:t>
            </w:r>
          </w:p>
        </w:tc>
        <w:tc>
          <w:tcPr>
            <w:tcW w:w="1134" w:type="dxa"/>
            <w:noWrap w:val="0"/>
            <w:vAlign w:val="center"/>
          </w:tcPr>
          <w:p>
            <w:pPr>
              <w:ind w:firstLine="480"/>
              <w:jc w:val="center"/>
              <w:rPr>
                <w:color w:val="000000"/>
                <w:sz w:val="24"/>
              </w:rPr>
            </w:pPr>
            <w:r>
              <w:rPr>
                <w:color w:val="000000"/>
                <w:sz w:val="24"/>
              </w:rPr>
              <w:t>12</w:t>
            </w:r>
          </w:p>
        </w:tc>
        <w:tc>
          <w:tcPr>
            <w:tcW w:w="1134" w:type="dxa"/>
            <w:noWrap w:val="0"/>
            <w:vAlign w:val="center"/>
          </w:tcPr>
          <w:p>
            <w:pPr>
              <w:ind w:firstLine="480"/>
              <w:jc w:val="center"/>
              <w:rPr>
                <w:color w:val="000000"/>
                <w:sz w:val="24"/>
              </w:rPr>
            </w:pPr>
            <w:r>
              <w:rPr>
                <w:color w:val="000000"/>
                <w:sz w:val="24"/>
              </w:rPr>
              <w:t>16</w:t>
            </w:r>
          </w:p>
        </w:tc>
        <w:tc>
          <w:tcPr>
            <w:tcW w:w="1191" w:type="dxa"/>
            <w:noWrap w:val="0"/>
            <w:vAlign w:val="center"/>
          </w:tcPr>
          <w:p>
            <w:pPr>
              <w:ind w:firstLine="480"/>
              <w:jc w:val="center"/>
              <w:rPr>
                <w:color w:val="000000"/>
                <w:sz w:val="24"/>
              </w:rPr>
            </w:pPr>
            <w:r>
              <w:rPr>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公开谴责</w:t>
            </w:r>
          </w:p>
        </w:tc>
        <w:tc>
          <w:tcPr>
            <w:tcW w:w="1134" w:type="dxa"/>
            <w:noWrap w:val="0"/>
            <w:vAlign w:val="center"/>
          </w:tcPr>
          <w:p>
            <w:pPr>
              <w:ind w:firstLine="480"/>
              <w:jc w:val="center"/>
              <w:rPr>
                <w:color w:val="000000"/>
                <w:sz w:val="24"/>
              </w:rPr>
            </w:pPr>
            <w:r>
              <w:rPr>
                <w:color w:val="000000"/>
                <w:sz w:val="24"/>
              </w:rPr>
              <w:t>6</w:t>
            </w:r>
          </w:p>
        </w:tc>
        <w:tc>
          <w:tcPr>
            <w:tcW w:w="1134" w:type="dxa"/>
            <w:noWrap w:val="0"/>
            <w:vAlign w:val="center"/>
          </w:tcPr>
          <w:p>
            <w:pPr>
              <w:ind w:firstLine="480"/>
              <w:jc w:val="center"/>
              <w:rPr>
                <w:color w:val="000000"/>
                <w:sz w:val="24"/>
              </w:rPr>
            </w:pPr>
            <w:r>
              <w:rPr>
                <w:color w:val="000000"/>
                <w:sz w:val="24"/>
              </w:rPr>
              <w:t>12</w:t>
            </w:r>
          </w:p>
        </w:tc>
        <w:tc>
          <w:tcPr>
            <w:tcW w:w="1134" w:type="dxa"/>
            <w:noWrap w:val="0"/>
            <w:vAlign w:val="center"/>
          </w:tcPr>
          <w:p>
            <w:pPr>
              <w:ind w:firstLine="480"/>
              <w:jc w:val="center"/>
              <w:rPr>
                <w:color w:val="000000"/>
                <w:sz w:val="24"/>
              </w:rPr>
            </w:pPr>
            <w:r>
              <w:rPr>
                <w:color w:val="000000"/>
                <w:sz w:val="24"/>
              </w:rPr>
              <w:t>18</w:t>
            </w:r>
          </w:p>
        </w:tc>
        <w:tc>
          <w:tcPr>
            <w:tcW w:w="1134" w:type="dxa"/>
            <w:noWrap w:val="0"/>
            <w:vAlign w:val="center"/>
          </w:tcPr>
          <w:p>
            <w:pPr>
              <w:ind w:firstLine="480"/>
              <w:jc w:val="center"/>
              <w:rPr>
                <w:color w:val="000000"/>
                <w:sz w:val="24"/>
              </w:rPr>
            </w:pPr>
            <w:r>
              <w:rPr>
                <w:color w:val="000000"/>
                <w:sz w:val="24"/>
              </w:rPr>
              <w:t>24</w:t>
            </w:r>
          </w:p>
        </w:tc>
        <w:tc>
          <w:tcPr>
            <w:tcW w:w="1191" w:type="dxa"/>
            <w:noWrap w:val="0"/>
            <w:vAlign w:val="center"/>
          </w:tcPr>
          <w:p>
            <w:pPr>
              <w:ind w:firstLine="480"/>
              <w:jc w:val="center"/>
              <w:rPr>
                <w:color w:val="000000"/>
                <w:sz w:val="24"/>
              </w:rPr>
            </w:pPr>
            <w:r>
              <w:rPr>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59" w:type="dxa"/>
            <w:vMerge w:val="continue"/>
            <w:noWrap w:val="0"/>
            <w:vAlign w:val="center"/>
          </w:tcPr>
          <w:p>
            <w:pPr>
              <w:snapToGrid w:val="0"/>
              <w:spacing w:line="440" w:lineRule="exact"/>
              <w:ind w:firstLine="480"/>
              <w:jc w:val="center"/>
              <w:rPr>
                <w:sz w:val="24"/>
              </w:rPr>
            </w:pPr>
          </w:p>
        </w:tc>
        <w:tc>
          <w:tcPr>
            <w:tcW w:w="2220" w:type="dxa"/>
            <w:noWrap w:val="0"/>
            <w:vAlign w:val="center"/>
          </w:tcPr>
          <w:p>
            <w:pPr>
              <w:snapToGrid w:val="0"/>
              <w:spacing w:line="440" w:lineRule="exact"/>
              <w:jc w:val="center"/>
              <w:rPr>
                <w:sz w:val="24"/>
              </w:rPr>
            </w:pPr>
            <w:r>
              <w:rPr>
                <w:rFonts w:hAnsi="宋体"/>
                <w:sz w:val="24"/>
              </w:rPr>
              <w:t>吊销注册资产评估师证书</w:t>
            </w:r>
          </w:p>
        </w:tc>
        <w:tc>
          <w:tcPr>
            <w:tcW w:w="1134" w:type="dxa"/>
            <w:noWrap w:val="0"/>
            <w:vAlign w:val="center"/>
          </w:tcPr>
          <w:p>
            <w:pPr>
              <w:ind w:firstLine="480"/>
              <w:jc w:val="center"/>
              <w:rPr>
                <w:color w:val="000000"/>
                <w:sz w:val="24"/>
              </w:rPr>
            </w:pPr>
            <w:r>
              <w:rPr>
                <w:color w:val="000000"/>
                <w:sz w:val="24"/>
              </w:rPr>
              <w:t>8</w:t>
            </w:r>
          </w:p>
        </w:tc>
        <w:tc>
          <w:tcPr>
            <w:tcW w:w="1134" w:type="dxa"/>
            <w:noWrap w:val="0"/>
            <w:vAlign w:val="center"/>
          </w:tcPr>
          <w:p>
            <w:pPr>
              <w:ind w:firstLine="480"/>
              <w:jc w:val="center"/>
              <w:rPr>
                <w:color w:val="000000"/>
                <w:sz w:val="24"/>
              </w:rPr>
            </w:pPr>
            <w:r>
              <w:rPr>
                <w:color w:val="000000"/>
                <w:sz w:val="24"/>
              </w:rPr>
              <w:t>16</w:t>
            </w:r>
          </w:p>
        </w:tc>
        <w:tc>
          <w:tcPr>
            <w:tcW w:w="1134" w:type="dxa"/>
            <w:noWrap w:val="0"/>
            <w:vAlign w:val="center"/>
          </w:tcPr>
          <w:p>
            <w:pPr>
              <w:ind w:firstLine="480"/>
              <w:jc w:val="center"/>
              <w:rPr>
                <w:color w:val="000000"/>
                <w:sz w:val="24"/>
              </w:rPr>
            </w:pPr>
            <w:r>
              <w:rPr>
                <w:color w:val="000000"/>
                <w:sz w:val="24"/>
              </w:rPr>
              <w:t>24</w:t>
            </w:r>
          </w:p>
        </w:tc>
        <w:tc>
          <w:tcPr>
            <w:tcW w:w="1134" w:type="dxa"/>
            <w:noWrap w:val="0"/>
            <w:vAlign w:val="center"/>
          </w:tcPr>
          <w:p>
            <w:pPr>
              <w:ind w:firstLine="480"/>
              <w:jc w:val="center"/>
              <w:rPr>
                <w:color w:val="000000"/>
                <w:sz w:val="24"/>
              </w:rPr>
            </w:pPr>
            <w:r>
              <w:rPr>
                <w:color w:val="000000"/>
                <w:sz w:val="24"/>
              </w:rPr>
              <w:t>32</w:t>
            </w:r>
          </w:p>
        </w:tc>
        <w:tc>
          <w:tcPr>
            <w:tcW w:w="1191" w:type="dxa"/>
            <w:noWrap w:val="0"/>
            <w:vAlign w:val="center"/>
          </w:tcPr>
          <w:p>
            <w:pPr>
              <w:ind w:firstLine="480"/>
              <w:jc w:val="center"/>
              <w:rPr>
                <w:color w:val="000000"/>
                <w:sz w:val="24"/>
              </w:rPr>
            </w:pPr>
            <w:r>
              <w:rPr>
                <w:color w:val="000000"/>
                <w:sz w:val="24"/>
              </w:rPr>
              <w:t>40</w:t>
            </w:r>
          </w:p>
        </w:tc>
      </w:tr>
    </w:tbl>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rFonts w:hint="eastAsia" w:hAnsi="宋体"/>
          <w:b/>
          <w:sz w:val="32"/>
          <w:szCs w:val="32"/>
        </w:rPr>
      </w:pPr>
    </w:p>
    <w:p>
      <w:pPr>
        <w:widowControl/>
        <w:jc w:val="left"/>
        <w:rPr>
          <w:b/>
          <w:bCs/>
          <w:sz w:val="32"/>
          <w:szCs w:val="32"/>
        </w:rPr>
      </w:pPr>
      <w:r>
        <w:rPr>
          <w:rFonts w:hAnsi="宋体"/>
          <w:b/>
          <w:sz w:val="32"/>
          <w:szCs w:val="32"/>
        </w:rPr>
        <w:t>附表</w:t>
      </w:r>
      <w:r>
        <w:rPr>
          <w:b/>
          <w:sz w:val="32"/>
          <w:szCs w:val="32"/>
        </w:rPr>
        <w:t>4</w:t>
      </w:r>
    </w:p>
    <w:p>
      <w:pPr>
        <w:tabs>
          <w:tab w:val="left" w:pos="3731"/>
        </w:tabs>
        <w:spacing w:line="440" w:lineRule="exact"/>
        <w:ind w:firstLine="543" w:firstLineChars="169"/>
        <w:jc w:val="center"/>
        <w:rPr>
          <w:rFonts w:hint="eastAsia"/>
          <w:b/>
          <w:sz w:val="32"/>
          <w:szCs w:val="32"/>
        </w:rPr>
      </w:pPr>
      <w:r>
        <w:rPr>
          <w:rFonts w:hAnsi="宋体"/>
          <w:b/>
          <w:sz w:val="32"/>
          <w:szCs w:val="32"/>
        </w:rPr>
        <w:t>行业贡献计分标准</w:t>
      </w:r>
    </w:p>
    <w:p>
      <w:pPr>
        <w:snapToGrid w:val="0"/>
        <w:spacing w:line="440" w:lineRule="exact"/>
        <w:jc w:val="center"/>
        <w:rPr>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
        <w:gridCol w:w="5150"/>
        <w:gridCol w:w="29"/>
        <w:gridCol w:w="5317"/>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center"/>
              <w:rPr>
                <w:b/>
                <w:sz w:val="24"/>
              </w:rPr>
            </w:pPr>
            <w:r>
              <w:rPr>
                <w:rFonts w:hAnsi="宋体"/>
                <w:b/>
                <w:sz w:val="24"/>
              </w:rPr>
              <w:t>事</w:t>
            </w:r>
            <w:r>
              <w:rPr>
                <w:rFonts w:hint="eastAsia" w:hAnsi="宋体"/>
                <w:b/>
                <w:sz w:val="24"/>
              </w:rPr>
              <w:t xml:space="preserve">   </w:t>
            </w:r>
            <w:r>
              <w:rPr>
                <w:rFonts w:hAnsi="宋体"/>
                <w:b/>
                <w:sz w:val="24"/>
              </w:rPr>
              <w:t>项</w:t>
            </w:r>
          </w:p>
        </w:tc>
        <w:tc>
          <w:tcPr>
            <w:tcW w:w="5329" w:type="dxa"/>
            <w:gridSpan w:val="2"/>
            <w:noWrap w:val="0"/>
            <w:vAlign w:val="center"/>
          </w:tcPr>
          <w:p>
            <w:pPr>
              <w:snapToGrid w:val="0"/>
              <w:spacing w:line="440" w:lineRule="exact"/>
              <w:jc w:val="center"/>
              <w:rPr>
                <w:b/>
                <w:sz w:val="24"/>
              </w:rPr>
            </w:pPr>
            <w:r>
              <w:rPr>
                <w:rFonts w:hAnsi="宋体"/>
                <w:b/>
                <w:sz w:val="24"/>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rFonts w:hint="eastAsia"/>
                <w:szCs w:val="21"/>
              </w:rPr>
            </w:pPr>
            <w:r>
              <w:rPr>
                <w:rFonts w:hint="eastAsia"/>
                <w:szCs w:val="21"/>
              </w:rPr>
              <w:t>被</w:t>
            </w:r>
            <w:r>
              <w:rPr>
                <w:rFonts w:hint="eastAsia"/>
                <w:szCs w:val="21"/>
                <w:lang w:eastAsia="zh-CN"/>
              </w:rPr>
              <w:t>记入</w:t>
            </w:r>
            <w:r>
              <w:rPr>
                <w:rFonts w:hint="eastAsia"/>
                <w:szCs w:val="21"/>
              </w:rPr>
              <w:t>诚信档案良好记录</w:t>
            </w:r>
          </w:p>
        </w:tc>
        <w:tc>
          <w:tcPr>
            <w:tcW w:w="5329" w:type="dxa"/>
            <w:gridSpan w:val="2"/>
            <w:noWrap w:val="0"/>
            <w:vAlign w:val="center"/>
          </w:tcPr>
          <w:p>
            <w:pPr>
              <w:snapToGrid w:val="0"/>
              <w:spacing w:line="440" w:lineRule="exact"/>
              <w:jc w:val="left"/>
              <w:rPr>
                <w:szCs w:val="21"/>
              </w:rPr>
            </w:pPr>
            <w:r>
              <w:rPr>
                <w:rFonts w:hint="eastAsia" w:hAnsi="宋体"/>
                <w:szCs w:val="21"/>
              </w:rPr>
              <w:t>中评协</w:t>
            </w:r>
            <w:r>
              <w:rPr>
                <w:rFonts w:hAnsi="宋体"/>
                <w:szCs w:val="21"/>
              </w:rPr>
              <w:t>表彰</w:t>
            </w:r>
            <w:r>
              <w:rPr>
                <w:szCs w:val="21"/>
              </w:rPr>
              <w:t>1</w:t>
            </w:r>
            <w:r>
              <w:rPr>
                <w:rFonts w:hAnsi="宋体"/>
                <w:szCs w:val="21"/>
              </w:rPr>
              <w:t>次</w:t>
            </w:r>
            <w:r>
              <w:rPr>
                <w:rFonts w:hint="eastAsia" w:hAnsi="宋体"/>
                <w:szCs w:val="21"/>
                <w:lang w:eastAsia="zh-CN"/>
              </w:rPr>
              <w:t>计</w:t>
            </w:r>
            <w:r>
              <w:rPr>
                <w:szCs w:val="21"/>
              </w:rPr>
              <w:t>2</w:t>
            </w:r>
            <w:r>
              <w:rPr>
                <w:rFonts w:hAnsi="宋体"/>
                <w:szCs w:val="21"/>
              </w:rPr>
              <w:t>分（以记入诚信档案为准）</w:t>
            </w:r>
            <w:r>
              <w:rPr>
                <w:rFonts w:hint="eastAsia" w:hAnsi="宋体"/>
                <w:szCs w:val="21"/>
              </w:rPr>
              <w:t>，省评协表彰1次</w:t>
            </w:r>
            <w:r>
              <w:rPr>
                <w:rFonts w:hint="eastAsia" w:hAnsi="宋体"/>
                <w:szCs w:val="21"/>
                <w:lang w:eastAsia="zh-CN"/>
              </w:rPr>
              <w:t>计</w:t>
            </w:r>
            <w:r>
              <w:rPr>
                <w:rFonts w:hint="eastAsia" w:hAnsi="宋体"/>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担任协会理事</w:t>
            </w:r>
          </w:p>
        </w:tc>
        <w:tc>
          <w:tcPr>
            <w:tcW w:w="5329" w:type="dxa"/>
            <w:gridSpan w:val="2"/>
            <w:noWrap w:val="0"/>
            <w:vAlign w:val="center"/>
          </w:tcPr>
          <w:p>
            <w:pPr>
              <w:snapToGrid w:val="0"/>
              <w:spacing w:line="440" w:lineRule="exact"/>
              <w:jc w:val="left"/>
              <w:rPr>
                <w:szCs w:val="21"/>
              </w:rPr>
            </w:pPr>
            <w:r>
              <w:rPr>
                <w:rFonts w:hint="eastAsia" w:hAnsi="宋体"/>
                <w:szCs w:val="21"/>
              </w:rPr>
              <w:t>中评协</w:t>
            </w:r>
            <w:r>
              <w:rPr>
                <w:rFonts w:hAnsi="宋体"/>
                <w:szCs w:val="21"/>
              </w:rPr>
              <w:t>理事</w:t>
            </w:r>
            <w:r>
              <w:rPr>
                <w:szCs w:val="21"/>
              </w:rPr>
              <w:t>1</w:t>
            </w:r>
            <w:r>
              <w:rPr>
                <w:rFonts w:hAnsi="宋体"/>
                <w:szCs w:val="21"/>
              </w:rPr>
              <w:t>人</w:t>
            </w:r>
            <w:r>
              <w:rPr>
                <w:rFonts w:hint="eastAsia" w:hAnsi="宋体"/>
                <w:szCs w:val="21"/>
                <w:lang w:eastAsia="zh-CN"/>
              </w:rPr>
              <w:t>计</w:t>
            </w:r>
            <w:r>
              <w:rPr>
                <w:szCs w:val="21"/>
              </w:rPr>
              <w:t>2</w:t>
            </w:r>
            <w:r>
              <w:rPr>
                <w:rFonts w:hAnsi="宋体"/>
                <w:szCs w:val="21"/>
              </w:rPr>
              <w:t>分</w:t>
            </w:r>
            <w:r>
              <w:rPr>
                <w:rFonts w:hint="eastAsia" w:hAnsi="宋体"/>
                <w:szCs w:val="21"/>
              </w:rPr>
              <w:t>，省评协</w:t>
            </w:r>
            <w:r>
              <w:rPr>
                <w:rFonts w:hAnsi="宋体"/>
                <w:szCs w:val="21"/>
              </w:rPr>
              <w:t>理事</w:t>
            </w:r>
            <w:r>
              <w:rPr>
                <w:szCs w:val="21"/>
              </w:rPr>
              <w:t>1</w:t>
            </w:r>
            <w:r>
              <w:rPr>
                <w:rFonts w:hAnsi="宋体"/>
                <w:szCs w:val="21"/>
              </w:rPr>
              <w:t>人</w:t>
            </w:r>
            <w:r>
              <w:rPr>
                <w:rFonts w:hint="eastAsia" w:hAnsi="宋体"/>
                <w:szCs w:val="21"/>
                <w:lang w:eastAsia="zh-CN"/>
              </w:rPr>
              <w:t>计</w:t>
            </w:r>
            <w:r>
              <w:rPr>
                <w:rFonts w:hint="eastAsia" w:hAnsi="宋体"/>
                <w:szCs w:val="21"/>
              </w:rPr>
              <w:t>1</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22" w:type="dxa"/>
            <w:gridSpan w:val="3"/>
            <w:noWrap w:val="0"/>
            <w:vAlign w:val="center"/>
          </w:tcPr>
          <w:p>
            <w:pPr>
              <w:snapToGrid w:val="0"/>
              <w:spacing w:line="440" w:lineRule="exact"/>
              <w:jc w:val="left"/>
              <w:rPr>
                <w:szCs w:val="21"/>
              </w:rPr>
            </w:pPr>
            <w:r>
              <w:rPr>
                <w:rFonts w:hAnsi="宋体"/>
                <w:szCs w:val="21"/>
              </w:rPr>
              <w:t>担任中评协通讯员、外事联络员</w:t>
            </w:r>
          </w:p>
        </w:tc>
        <w:tc>
          <w:tcPr>
            <w:tcW w:w="5329" w:type="dxa"/>
            <w:gridSpan w:val="2"/>
            <w:noWrap w:val="0"/>
            <w:vAlign w:val="center"/>
          </w:tcPr>
          <w:p>
            <w:pPr>
              <w:snapToGrid w:val="0"/>
              <w:spacing w:line="440" w:lineRule="exact"/>
              <w:jc w:val="left"/>
              <w:rPr>
                <w:szCs w:val="21"/>
              </w:rPr>
            </w:pPr>
            <w:r>
              <w:rPr>
                <w:szCs w:val="21"/>
              </w:rPr>
              <w:t>1</w:t>
            </w:r>
            <w:r>
              <w:rPr>
                <w:rFonts w:hAnsi="宋体"/>
                <w:szCs w:val="21"/>
              </w:rPr>
              <w:t>人</w:t>
            </w:r>
            <w:r>
              <w:rPr>
                <w:rFonts w:hint="eastAsia" w:hAnsi="宋体"/>
                <w:szCs w:val="21"/>
                <w:lang w:eastAsia="zh-CN"/>
              </w:rPr>
              <w:t>计</w:t>
            </w:r>
            <w:r>
              <w:rPr>
                <w:szCs w:val="21"/>
              </w:rPr>
              <w:t>1</w:t>
            </w:r>
            <w:r>
              <w:rPr>
                <w:rFonts w:hAnsi="宋体"/>
                <w:szCs w:val="21"/>
              </w:rPr>
              <w:t>分</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参加行业检查</w:t>
            </w:r>
          </w:p>
        </w:tc>
        <w:tc>
          <w:tcPr>
            <w:tcW w:w="5329" w:type="dxa"/>
            <w:gridSpan w:val="2"/>
            <w:noWrap w:val="0"/>
            <w:vAlign w:val="center"/>
          </w:tcPr>
          <w:p>
            <w:pPr>
              <w:snapToGrid w:val="0"/>
              <w:spacing w:line="440" w:lineRule="exact"/>
              <w:jc w:val="left"/>
              <w:rPr>
                <w:rFonts w:hint="eastAsia"/>
                <w:szCs w:val="21"/>
              </w:rPr>
            </w:pPr>
            <w:r>
              <w:rPr>
                <w:rFonts w:hint="eastAsia" w:hAnsi="宋体"/>
                <w:szCs w:val="21"/>
              </w:rPr>
              <w:t>中评协行业检查</w:t>
            </w:r>
            <w:r>
              <w:rPr>
                <w:rFonts w:hAnsi="宋体"/>
                <w:szCs w:val="21"/>
              </w:rPr>
              <w:t>一般人员每</w:t>
            </w:r>
            <w:r>
              <w:rPr>
                <w:szCs w:val="21"/>
              </w:rPr>
              <w:t>1</w:t>
            </w:r>
            <w:r>
              <w:rPr>
                <w:rFonts w:hAnsi="宋体"/>
                <w:szCs w:val="21"/>
              </w:rPr>
              <w:t>天</w:t>
            </w:r>
            <w:r>
              <w:rPr>
                <w:rFonts w:hint="eastAsia" w:hAnsi="宋体"/>
                <w:szCs w:val="21"/>
                <w:lang w:eastAsia="zh-CN"/>
              </w:rPr>
              <w:t>计</w:t>
            </w:r>
            <w:r>
              <w:rPr>
                <w:szCs w:val="21"/>
              </w:rPr>
              <w:t>1</w:t>
            </w:r>
            <w:r>
              <w:rPr>
                <w:rFonts w:hAnsi="宋体"/>
                <w:szCs w:val="21"/>
              </w:rPr>
              <w:t>分</w:t>
            </w:r>
            <w:r>
              <w:rPr>
                <w:rFonts w:hint="eastAsia" w:hAnsi="宋体"/>
                <w:szCs w:val="21"/>
              </w:rPr>
              <w:t>，省评协行业检查</w:t>
            </w:r>
            <w:r>
              <w:rPr>
                <w:rFonts w:hAnsi="宋体"/>
                <w:szCs w:val="21"/>
              </w:rPr>
              <w:t>一般人员每</w:t>
            </w:r>
            <w:r>
              <w:rPr>
                <w:szCs w:val="21"/>
              </w:rPr>
              <w:t>1</w:t>
            </w:r>
            <w:r>
              <w:rPr>
                <w:rFonts w:hAnsi="宋体"/>
                <w:szCs w:val="21"/>
              </w:rPr>
              <w:t>天</w:t>
            </w:r>
            <w:r>
              <w:rPr>
                <w:rFonts w:hint="eastAsia" w:hAnsi="宋体"/>
                <w:szCs w:val="21"/>
                <w:lang w:eastAsia="zh-CN"/>
              </w:rPr>
              <w:t>计</w:t>
            </w:r>
            <w:r>
              <w:rPr>
                <w:rFonts w:hint="eastAsia"/>
                <w:szCs w:val="21"/>
              </w:rPr>
              <w:t>0.5</w:t>
            </w:r>
            <w:r>
              <w:rPr>
                <w:rFonts w:hAnsi="宋体"/>
                <w:szCs w:val="21"/>
              </w:rPr>
              <w:t>分</w:t>
            </w:r>
            <w:r>
              <w:rPr>
                <w:rFonts w:hint="eastAsia" w:hAnsi="宋体"/>
                <w:szCs w:val="21"/>
              </w:rPr>
              <w:t>，</w:t>
            </w:r>
          </w:p>
          <w:p>
            <w:pPr>
              <w:snapToGrid w:val="0"/>
              <w:spacing w:line="440" w:lineRule="exact"/>
              <w:jc w:val="left"/>
              <w:rPr>
                <w:szCs w:val="21"/>
              </w:rPr>
            </w:pPr>
            <w:r>
              <w:rPr>
                <w:rFonts w:hAnsi="宋体"/>
                <w:szCs w:val="21"/>
              </w:rPr>
              <w:t>组长或负责人在一般人员基础上增加</w:t>
            </w: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参加</w:t>
            </w:r>
            <w:r>
              <w:rPr>
                <w:rFonts w:hint="eastAsia" w:hAnsi="宋体"/>
                <w:szCs w:val="21"/>
              </w:rPr>
              <w:t>中评协、省评协</w:t>
            </w:r>
            <w:r>
              <w:rPr>
                <w:rFonts w:hAnsi="宋体"/>
                <w:szCs w:val="21"/>
              </w:rPr>
              <w:t>组织的专案调查、专家论证及执业责任鉴定（依据原始记录）</w:t>
            </w:r>
          </w:p>
        </w:tc>
        <w:tc>
          <w:tcPr>
            <w:tcW w:w="5329" w:type="dxa"/>
            <w:gridSpan w:val="2"/>
            <w:noWrap w:val="0"/>
            <w:vAlign w:val="center"/>
          </w:tcPr>
          <w:p>
            <w:pPr>
              <w:snapToGrid w:val="0"/>
              <w:spacing w:line="440" w:lineRule="exact"/>
              <w:jc w:val="left"/>
              <w:rPr>
                <w:szCs w:val="21"/>
              </w:rPr>
            </w:pPr>
            <w:r>
              <w:rPr>
                <w:rFonts w:hAnsi="宋体"/>
                <w:szCs w:val="21"/>
              </w:rPr>
              <w:t>每人每案</w:t>
            </w:r>
            <w:r>
              <w:rPr>
                <w:rFonts w:hint="eastAsia" w:hAnsi="宋体"/>
                <w:szCs w:val="21"/>
                <w:lang w:eastAsia="zh-CN"/>
              </w:rPr>
              <w:t>计</w:t>
            </w:r>
            <w:r>
              <w:rPr>
                <w:szCs w:val="21"/>
              </w:rPr>
              <w:t>10</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参加培训授课</w:t>
            </w:r>
            <w:r>
              <w:rPr>
                <w:szCs w:val="21"/>
              </w:rPr>
              <w:t>(</w:t>
            </w:r>
            <w:r>
              <w:rPr>
                <w:rFonts w:hAnsi="宋体"/>
                <w:szCs w:val="21"/>
              </w:rPr>
              <w:t>依据培训通知</w:t>
            </w:r>
            <w:r>
              <w:rPr>
                <w:szCs w:val="21"/>
              </w:rPr>
              <w:t>)</w:t>
            </w:r>
          </w:p>
        </w:tc>
        <w:tc>
          <w:tcPr>
            <w:tcW w:w="5329" w:type="dxa"/>
            <w:gridSpan w:val="2"/>
            <w:noWrap w:val="0"/>
            <w:vAlign w:val="center"/>
          </w:tcPr>
          <w:p>
            <w:pPr>
              <w:snapToGrid w:val="0"/>
              <w:spacing w:line="440" w:lineRule="exact"/>
              <w:jc w:val="left"/>
              <w:rPr>
                <w:rFonts w:hint="eastAsia"/>
                <w:szCs w:val="21"/>
              </w:rPr>
            </w:pPr>
            <w:r>
              <w:rPr>
                <w:rFonts w:hint="eastAsia" w:hAnsi="宋体"/>
                <w:szCs w:val="21"/>
              </w:rPr>
              <w:t>中评协的</w:t>
            </w:r>
            <w:r>
              <w:rPr>
                <w:rFonts w:hAnsi="宋体"/>
                <w:szCs w:val="21"/>
              </w:rPr>
              <w:t>每</w:t>
            </w:r>
            <w:r>
              <w:rPr>
                <w:szCs w:val="21"/>
              </w:rPr>
              <w:t>4</w:t>
            </w:r>
            <w:r>
              <w:rPr>
                <w:rFonts w:hAnsi="宋体"/>
                <w:szCs w:val="21"/>
              </w:rPr>
              <w:t>课时</w:t>
            </w:r>
            <w:r>
              <w:rPr>
                <w:rFonts w:hint="eastAsia" w:hAnsi="宋体"/>
                <w:szCs w:val="21"/>
                <w:lang w:eastAsia="zh-CN"/>
              </w:rPr>
              <w:t>计</w:t>
            </w:r>
            <w:r>
              <w:rPr>
                <w:szCs w:val="21"/>
              </w:rPr>
              <w:t>2</w:t>
            </w:r>
            <w:r>
              <w:rPr>
                <w:rFonts w:hAnsi="宋体"/>
                <w:szCs w:val="21"/>
              </w:rPr>
              <w:t>分</w:t>
            </w:r>
            <w:r>
              <w:rPr>
                <w:rFonts w:hint="eastAsia" w:hAnsi="宋体"/>
                <w:szCs w:val="21"/>
              </w:rPr>
              <w:t>，省评协的</w:t>
            </w:r>
            <w:r>
              <w:rPr>
                <w:rFonts w:hAnsi="宋体"/>
                <w:szCs w:val="21"/>
              </w:rPr>
              <w:t>每</w:t>
            </w:r>
            <w:r>
              <w:rPr>
                <w:szCs w:val="21"/>
              </w:rPr>
              <w:t>4</w:t>
            </w:r>
            <w:r>
              <w:rPr>
                <w:rFonts w:hAnsi="宋体"/>
                <w:szCs w:val="21"/>
              </w:rPr>
              <w:t>课时</w:t>
            </w:r>
            <w:r>
              <w:rPr>
                <w:rFonts w:hint="eastAsia" w:hAnsi="宋体"/>
                <w:szCs w:val="21"/>
                <w:lang w:eastAsia="zh-CN"/>
              </w:rPr>
              <w:t>计</w:t>
            </w:r>
            <w:r>
              <w:rPr>
                <w:rFonts w:hint="eastAsia" w:hAnsi="宋体"/>
                <w:szCs w:val="21"/>
              </w:rPr>
              <w:t>1</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222" w:type="dxa"/>
            <w:gridSpan w:val="3"/>
            <w:noWrap w:val="0"/>
            <w:vAlign w:val="center"/>
          </w:tcPr>
          <w:p>
            <w:pPr>
              <w:snapToGrid w:val="0"/>
              <w:spacing w:line="440" w:lineRule="exact"/>
              <w:jc w:val="left"/>
              <w:rPr>
                <w:szCs w:val="21"/>
              </w:rPr>
            </w:pPr>
            <w:r>
              <w:rPr>
                <w:rFonts w:hAnsi="宋体"/>
                <w:szCs w:val="21"/>
              </w:rPr>
              <w:t>参加</w:t>
            </w:r>
            <w:r>
              <w:rPr>
                <w:rFonts w:hint="eastAsia" w:hAnsi="宋体"/>
                <w:szCs w:val="21"/>
              </w:rPr>
              <w:t>省评协组织的</w:t>
            </w:r>
            <w:r>
              <w:rPr>
                <w:rFonts w:hAnsi="宋体"/>
                <w:szCs w:val="21"/>
              </w:rPr>
              <w:t>资产评估课题研究（</w:t>
            </w:r>
            <w:r>
              <w:rPr>
                <w:rFonts w:hint="eastAsia" w:hAnsi="宋体"/>
                <w:szCs w:val="21"/>
              </w:rPr>
              <w:t>已结题并验收</w:t>
            </w:r>
            <w:r>
              <w:rPr>
                <w:rFonts w:hAnsi="宋体"/>
                <w:szCs w:val="21"/>
              </w:rPr>
              <w:t>）</w:t>
            </w:r>
          </w:p>
        </w:tc>
        <w:tc>
          <w:tcPr>
            <w:tcW w:w="5329" w:type="dxa"/>
            <w:gridSpan w:val="2"/>
            <w:noWrap w:val="0"/>
            <w:vAlign w:val="center"/>
          </w:tcPr>
          <w:p>
            <w:pPr>
              <w:snapToGrid w:val="0"/>
              <w:spacing w:line="440" w:lineRule="exact"/>
              <w:jc w:val="left"/>
              <w:rPr>
                <w:szCs w:val="21"/>
              </w:rPr>
            </w:pPr>
            <w:r>
              <w:rPr>
                <w:rFonts w:hAnsi="宋体"/>
                <w:szCs w:val="21"/>
              </w:rPr>
              <w:t>课题负责人</w:t>
            </w:r>
            <w:r>
              <w:rPr>
                <w:szCs w:val="21"/>
              </w:rPr>
              <w:t>1</w:t>
            </w:r>
            <w:r>
              <w:rPr>
                <w:rFonts w:hAnsi="宋体"/>
                <w:szCs w:val="21"/>
              </w:rPr>
              <w:t>人</w:t>
            </w:r>
            <w:r>
              <w:rPr>
                <w:rFonts w:hint="eastAsia" w:hAnsi="宋体"/>
                <w:szCs w:val="21"/>
                <w:lang w:eastAsia="zh-CN"/>
              </w:rPr>
              <w:t>计</w:t>
            </w:r>
            <w:r>
              <w:rPr>
                <w:szCs w:val="21"/>
              </w:rPr>
              <w:t>20</w:t>
            </w:r>
            <w:r>
              <w:rPr>
                <w:rFonts w:hAnsi="宋体"/>
                <w:szCs w:val="21"/>
              </w:rPr>
              <w:t>分，课题组成员</w:t>
            </w:r>
            <w:r>
              <w:rPr>
                <w:szCs w:val="21"/>
              </w:rPr>
              <w:t>1</w:t>
            </w:r>
            <w:r>
              <w:rPr>
                <w:rFonts w:hAnsi="宋体"/>
                <w:szCs w:val="21"/>
              </w:rPr>
              <w:t>人</w:t>
            </w:r>
            <w:r>
              <w:rPr>
                <w:rFonts w:hint="eastAsia" w:hAnsi="宋体"/>
                <w:szCs w:val="21"/>
                <w:lang w:eastAsia="zh-CN"/>
              </w:rPr>
              <w:t>计</w:t>
            </w:r>
            <w:r>
              <w:rPr>
                <w:szCs w:val="21"/>
              </w:rPr>
              <w:t>10</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2" w:type="dxa"/>
            <w:gridSpan w:val="3"/>
            <w:noWrap w:val="0"/>
            <w:vAlign w:val="center"/>
          </w:tcPr>
          <w:p>
            <w:pPr>
              <w:snapToGrid w:val="0"/>
              <w:spacing w:line="440" w:lineRule="exact"/>
              <w:jc w:val="left"/>
              <w:rPr>
                <w:szCs w:val="21"/>
              </w:rPr>
            </w:pPr>
            <w:r>
              <w:rPr>
                <w:rFonts w:hAnsi="宋体"/>
                <w:szCs w:val="21"/>
              </w:rPr>
              <w:t>参与</w:t>
            </w:r>
            <w:r>
              <w:rPr>
                <w:rFonts w:hint="eastAsia" w:hAnsi="宋体"/>
                <w:szCs w:val="21"/>
              </w:rPr>
              <w:t>中评协</w:t>
            </w:r>
            <w:r>
              <w:rPr>
                <w:rFonts w:hAnsi="宋体"/>
                <w:szCs w:val="21"/>
              </w:rPr>
              <w:t>业务讨论（依据会议通知或原始记录）</w:t>
            </w:r>
          </w:p>
        </w:tc>
        <w:tc>
          <w:tcPr>
            <w:tcW w:w="5329" w:type="dxa"/>
            <w:gridSpan w:val="2"/>
            <w:noWrap w:val="0"/>
            <w:vAlign w:val="center"/>
          </w:tcPr>
          <w:p>
            <w:pPr>
              <w:snapToGrid w:val="0"/>
              <w:spacing w:line="440" w:lineRule="exact"/>
              <w:jc w:val="left"/>
              <w:rPr>
                <w:szCs w:val="21"/>
              </w:rPr>
            </w:pPr>
            <w:r>
              <w:rPr>
                <w:szCs w:val="21"/>
              </w:rPr>
              <w:t>2</w:t>
            </w:r>
            <w:r>
              <w:rPr>
                <w:rFonts w:hAnsi="宋体"/>
                <w:szCs w:val="21"/>
              </w:rPr>
              <w:t>天</w:t>
            </w:r>
            <w:r>
              <w:rPr>
                <w:rFonts w:hint="eastAsia" w:hAnsi="宋体"/>
                <w:szCs w:val="21"/>
                <w:lang w:eastAsia="zh-CN"/>
              </w:rPr>
              <w:t>计</w:t>
            </w:r>
            <w:r>
              <w:rPr>
                <w:szCs w:val="21"/>
              </w:rPr>
              <w:t>1</w:t>
            </w:r>
            <w:r>
              <w:rPr>
                <w:rFonts w:hAnsi="宋体"/>
                <w:szCs w:val="21"/>
              </w:rPr>
              <w:t>分。参加课题、准则等评审类业务讨论的专家每人</w:t>
            </w:r>
            <w:r>
              <w:rPr>
                <w:szCs w:val="21"/>
              </w:rPr>
              <w:t>1</w:t>
            </w:r>
            <w:r>
              <w:rPr>
                <w:rFonts w:hAnsi="宋体"/>
                <w:szCs w:val="21"/>
              </w:rPr>
              <w:t>天</w:t>
            </w:r>
            <w:r>
              <w:rPr>
                <w:rFonts w:hint="eastAsia" w:hAnsi="宋体"/>
                <w:szCs w:val="21"/>
                <w:lang w:eastAsia="zh-CN"/>
              </w:rPr>
              <w:t>计</w:t>
            </w:r>
            <w:r>
              <w:rPr>
                <w:szCs w:val="21"/>
              </w:rPr>
              <w:t>1</w:t>
            </w:r>
            <w:r>
              <w:rPr>
                <w:rFonts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12" w:type="dxa"/>
          <w:jc w:val="center"/>
        </w:trPr>
        <w:tc>
          <w:tcPr>
            <w:tcW w:w="5150" w:type="dxa"/>
            <w:noWrap w:val="0"/>
            <w:vAlign w:val="top"/>
          </w:tcPr>
          <w:p>
            <w:pPr>
              <w:snapToGrid w:val="0"/>
              <w:spacing w:line="440" w:lineRule="exact"/>
              <w:jc w:val="left"/>
              <w:rPr>
                <w:rFonts w:hint="eastAsia" w:ascii="宋体" w:hAnsi="宋体" w:eastAsia="宋体" w:cs="宋体"/>
                <w:sz w:val="21"/>
                <w:szCs w:val="21"/>
              </w:rPr>
            </w:pPr>
            <w:r>
              <w:rPr>
                <w:rFonts w:hint="eastAsia" w:ascii="宋体" w:hAnsi="宋体" w:eastAsia="宋体" w:cs="宋体"/>
                <w:sz w:val="21"/>
                <w:szCs w:val="21"/>
              </w:rPr>
              <w:t>在国家一级刊物上或全国性评估会议上发表有关资产评估方面的文章，出版评估方面专著（需附文章及专著原件，本人不是第一作者的，需提供第一作者证明）</w:t>
            </w:r>
          </w:p>
        </w:tc>
        <w:tc>
          <w:tcPr>
            <w:tcW w:w="5346" w:type="dxa"/>
            <w:gridSpan w:val="2"/>
            <w:noWrap w:val="0"/>
            <w:vAlign w:val="center"/>
          </w:tcPr>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文章每篇</w:t>
            </w:r>
            <w:r>
              <w:rPr>
                <w:rFonts w:hint="eastAsia" w:ascii="宋体" w:hAnsi="宋体" w:eastAsia="宋体" w:cs="宋体"/>
                <w:sz w:val="21"/>
                <w:szCs w:val="21"/>
                <w:lang w:eastAsia="zh-CN"/>
              </w:rPr>
              <w:t>计</w:t>
            </w: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3分（多位作者的合计得分不超过3分，每1000字计1分，总计不超过3分）；专著每部不超过10分（多位作者的合计不超过10分，每1万字计1分）。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12" w:type="dxa"/>
          <w:trHeight w:val="810" w:hRule="atLeast"/>
          <w:jc w:val="center"/>
        </w:trPr>
        <w:tc>
          <w:tcPr>
            <w:tcW w:w="5150" w:type="dxa"/>
            <w:noWrap w:val="0"/>
            <w:vAlign w:val="top"/>
          </w:tcPr>
          <w:p>
            <w:pPr>
              <w:snapToGrid w:val="0"/>
              <w:spacing w:line="440" w:lineRule="exact"/>
              <w:jc w:val="left"/>
              <w:rPr>
                <w:rFonts w:hint="eastAsia" w:ascii="宋体" w:hAnsi="宋体" w:eastAsia="宋体" w:cs="宋体"/>
                <w:sz w:val="21"/>
                <w:szCs w:val="21"/>
              </w:rPr>
            </w:pPr>
            <w:r>
              <w:rPr>
                <w:rFonts w:hint="eastAsia" w:ascii="宋体" w:hAnsi="宋体" w:eastAsia="宋体" w:cs="宋体"/>
                <w:sz w:val="21"/>
                <w:szCs w:val="21"/>
              </w:rPr>
              <w:t>积极配合省评协工作的（具体列明参与工作时间、地点、内容、证明人）</w:t>
            </w:r>
          </w:p>
        </w:tc>
        <w:tc>
          <w:tcPr>
            <w:tcW w:w="5346" w:type="dxa"/>
            <w:gridSpan w:val="2"/>
            <w:noWrap w:val="0"/>
            <w:vAlign w:val="center"/>
          </w:tcPr>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每人每次</w:t>
            </w:r>
            <w:r>
              <w:rPr>
                <w:rFonts w:hint="eastAsia" w:ascii="宋体" w:hAnsi="宋体" w:eastAsia="宋体" w:cs="宋体"/>
                <w:sz w:val="21"/>
                <w:szCs w:val="21"/>
                <w:lang w:eastAsia="zh-CN"/>
              </w:rPr>
              <w:t>计</w:t>
            </w:r>
            <w:r>
              <w:rPr>
                <w:rFonts w:hint="eastAsia" w:ascii="宋体" w:hAnsi="宋体" w:eastAsia="宋体" w:cs="宋体"/>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12" w:type="dxa"/>
          <w:trHeight w:val="780" w:hRule="atLeast"/>
          <w:jc w:val="center"/>
        </w:trPr>
        <w:tc>
          <w:tcPr>
            <w:tcW w:w="5150" w:type="dxa"/>
            <w:noWrap w:val="0"/>
            <w:vAlign w:val="top"/>
          </w:tcPr>
          <w:p>
            <w:pPr>
              <w:snapToGrid w:val="0"/>
              <w:spacing w:line="440" w:lineRule="exact"/>
              <w:jc w:val="left"/>
              <w:rPr>
                <w:rFonts w:hint="eastAsia" w:ascii="宋体" w:hAnsi="宋体" w:eastAsia="宋体" w:cs="宋体"/>
                <w:sz w:val="21"/>
                <w:szCs w:val="21"/>
              </w:rPr>
            </w:pPr>
            <w:r>
              <w:rPr>
                <w:rFonts w:hint="eastAsia" w:ascii="宋体" w:hAnsi="宋体" w:eastAsia="宋体" w:cs="宋体"/>
                <w:sz w:val="21"/>
                <w:szCs w:val="21"/>
              </w:rPr>
              <w:t>按时足额缴纳会费的(和评估机构全部业务收入计算的口径一致)</w:t>
            </w:r>
          </w:p>
        </w:tc>
        <w:tc>
          <w:tcPr>
            <w:tcW w:w="5346" w:type="dxa"/>
            <w:gridSpan w:val="2"/>
            <w:noWrap w:val="0"/>
            <w:vAlign w:val="center"/>
          </w:tcPr>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43" w:type="dxa"/>
          <w:wAfter w:w="12" w:type="dxa"/>
          <w:trHeight w:val="2100" w:hRule="atLeast"/>
          <w:jc w:val="center"/>
        </w:trPr>
        <w:tc>
          <w:tcPr>
            <w:tcW w:w="5150" w:type="dxa"/>
            <w:noWrap w:val="0"/>
            <w:vAlign w:val="top"/>
          </w:tcPr>
          <w:p>
            <w:pPr>
              <w:snapToGrid w:val="0"/>
              <w:spacing w:line="440" w:lineRule="exact"/>
              <w:jc w:val="left"/>
              <w:rPr>
                <w:rFonts w:hint="eastAsia" w:ascii="宋体" w:hAnsi="宋体" w:eastAsia="宋体" w:cs="宋体"/>
                <w:sz w:val="21"/>
                <w:szCs w:val="21"/>
              </w:rPr>
            </w:pPr>
            <w:r>
              <w:rPr>
                <w:rFonts w:hint="eastAsia" w:ascii="宋体" w:hAnsi="宋体" w:eastAsia="宋体" w:cs="宋体"/>
                <w:sz w:val="21"/>
                <w:szCs w:val="21"/>
              </w:rPr>
              <w:t>参加省评协认定的对行业有重大影响的事项（经省评协秘书处认定）</w:t>
            </w:r>
          </w:p>
        </w:tc>
        <w:tc>
          <w:tcPr>
            <w:tcW w:w="5346" w:type="dxa"/>
            <w:gridSpan w:val="2"/>
            <w:noWrap w:val="0"/>
            <w:vAlign w:val="center"/>
          </w:tcPr>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参加相关领域获奖2分；征求意见反馈情况5分；业务报备真实准确程度1-5分（及时准确5分；虚假报备-10分）；积极参与党政部门、行业协会、社会团体组织的重要会议、学术交流、捐赠等5分。</w:t>
            </w:r>
          </w:p>
        </w:tc>
      </w:tr>
    </w:tbl>
    <w:p>
      <w:pPr>
        <w:snapToGrid w:val="0"/>
        <w:spacing w:line="440" w:lineRule="exact"/>
        <w:rPr>
          <w:rFonts w:hint="eastAsia"/>
          <w:b/>
          <w:sz w:val="30"/>
          <w:szCs w:val="30"/>
        </w:rPr>
      </w:pPr>
      <w:r>
        <w:rPr>
          <w:rFonts w:hint="eastAsia" w:ascii="宋体" w:hAnsi="宋体" w:eastAsia="宋体" w:cs="宋体"/>
          <w:bCs/>
          <w:sz w:val="21"/>
          <w:szCs w:val="21"/>
        </w:rPr>
        <w:t>注：以上计分事项应提供相关证明材料复印件</w:t>
      </w:r>
    </w:p>
    <w:p/>
    <w:p>
      <w:pPr>
        <w:snapToGrid w:val="0"/>
        <w:spacing w:line="440" w:lineRule="exact"/>
        <w:rPr>
          <w:rFonts w:ascii="Times New Roman" w:hAnsi="Times New Roman"/>
          <w:b w:val="0"/>
          <w:sz w:val="32"/>
          <w:szCs w:val="32"/>
        </w:rPr>
      </w:pPr>
      <w:r>
        <w:rPr>
          <w:rFonts w:ascii="Times New Roman"/>
          <w:b w:val="0"/>
          <w:sz w:val="30"/>
          <w:szCs w:val="30"/>
        </w:rPr>
        <w:t>附表</w:t>
      </w:r>
      <w:r>
        <w:rPr>
          <w:rFonts w:ascii="Times New Roman" w:hAnsi="Times New Roman"/>
          <w:b w:val="0"/>
          <w:sz w:val="30"/>
          <w:szCs w:val="30"/>
        </w:rPr>
        <w:t>5</w:t>
      </w:r>
      <w:r>
        <w:rPr>
          <w:rFonts w:ascii="Times New Roman"/>
          <w:b w:val="0"/>
          <w:sz w:val="30"/>
          <w:szCs w:val="30"/>
        </w:rPr>
        <w:t>：</w:t>
      </w:r>
      <w:r>
        <w:rPr>
          <w:rFonts w:ascii="Times New Roman" w:hAnsi="Times New Roman"/>
          <w:b w:val="0"/>
          <w:sz w:val="30"/>
          <w:szCs w:val="30"/>
        </w:rPr>
        <w:t xml:space="preserve">           </w:t>
      </w:r>
      <w:r>
        <w:rPr>
          <w:rFonts w:ascii="Times New Roman"/>
          <w:b w:val="0"/>
          <w:sz w:val="32"/>
          <w:szCs w:val="32"/>
        </w:rPr>
        <w:t>评估机构内部治理综合评价表</w:t>
      </w:r>
    </w:p>
    <w:tbl>
      <w:tblPr>
        <w:tblStyle w:val="6"/>
        <w:tblW w:w="1010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
        <w:gridCol w:w="2188"/>
        <w:gridCol w:w="724"/>
        <w:gridCol w:w="832"/>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 w:type="dxa"/>
            <w:noWrap w:val="0"/>
            <w:vAlign w:val="top"/>
          </w:tcPr>
          <w:p>
            <w:pPr>
              <w:snapToGrid w:val="0"/>
              <w:spacing w:line="440" w:lineRule="exact"/>
              <w:rPr>
                <w:rFonts w:ascii="Times New Roman" w:hAnsi="Times New Roman"/>
                <w:b w:val="0"/>
                <w:sz w:val="24"/>
                <w:szCs w:val="24"/>
              </w:rPr>
            </w:pPr>
            <w:r>
              <w:rPr>
                <w:rFonts w:ascii="Times New Roman" w:hAnsi="Times New Roman"/>
                <w:b w:val="0"/>
                <w:sz w:val="24"/>
                <w:szCs w:val="24"/>
              </w:rPr>
              <w:t>序号</w:t>
            </w:r>
          </w:p>
        </w:tc>
        <w:tc>
          <w:tcPr>
            <w:tcW w:w="2188" w:type="dxa"/>
            <w:noWrap w:val="0"/>
            <w:vAlign w:val="center"/>
          </w:tcPr>
          <w:p>
            <w:pPr>
              <w:snapToGrid w:val="0"/>
              <w:spacing w:line="440" w:lineRule="exact"/>
              <w:ind w:firstLine="235" w:firstLineChars="98"/>
              <w:jc w:val="center"/>
              <w:rPr>
                <w:rFonts w:ascii="Times New Roman" w:hAnsi="Times New Roman"/>
                <w:b w:val="0"/>
                <w:sz w:val="24"/>
                <w:szCs w:val="24"/>
              </w:rPr>
            </w:pPr>
            <w:r>
              <w:rPr>
                <w:rFonts w:ascii="Times New Roman" w:hAnsi="Times New Roman"/>
                <w:b w:val="0"/>
                <w:sz w:val="24"/>
                <w:szCs w:val="24"/>
              </w:rPr>
              <w:t>事 项</w:t>
            </w:r>
          </w:p>
        </w:tc>
        <w:tc>
          <w:tcPr>
            <w:tcW w:w="724" w:type="dxa"/>
            <w:noWrap w:val="0"/>
            <w:vAlign w:val="center"/>
          </w:tcPr>
          <w:p>
            <w:pPr>
              <w:snapToGrid w:val="0"/>
              <w:spacing w:line="440" w:lineRule="exact"/>
              <w:jc w:val="center"/>
              <w:rPr>
                <w:rFonts w:ascii="Times New Roman" w:hAnsi="Times New Roman"/>
                <w:b w:val="0"/>
                <w:sz w:val="24"/>
                <w:szCs w:val="24"/>
              </w:rPr>
            </w:pPr>
            <w:r>
              <w:rPr>
                <w:rFonts w:ascii="Times New Roman" w:hAnsi="Times New Roman"/>
                <w:b w:val="0"/>
                <w:sz w:val="24"/>
                <w:szCs w:val="24"/>
              </w:rPr>
              <w:t>自评得分</w:t>
            </w:r>
          </w:p>
        </w:tc>
        <w:tc>
          <w:tcPr>
            <w:tcW w:w="832" w:type="dxa"/>
            <w:noWrap w:val="0"/>
            <w:vAlign w:val="center"/>
          </w:tcPr>
          <w:p>
            <w:pPr>
              <w:snapToGrid w:val="0"/>
              <w:spacing w:line="440" w:lineRule="exact"/>
              <w:jc w:val="center"/>
              <w:rPr>
                <w:rFonts w:ascii="Times New Roman" w:hAnsi="Times New Roman"/>
                <w:b w:val="0"/>
                <w:sz w:val="24"/>
                <w:szCs w:val="24"/>
              </w:rPr>
            </w:pPr>
            <w:r>
              <w:rPr>
                <w:rFonts w:ascii="Times New Roman" w:hAnsi="Times New Roman"/>
                <w:b w:val="0"/>
                <w:sz w:val="24"/>
                <w:szCs w:val="24"/>
              </w:rPr>
              <w:t>评定得分</w:t>
            </w:r>
          </w:p>
        </w:tc>
        <w:tc>
          <w:tcPr>
            <w:tcW w:w="6032" w:type="dxa"/>
            <w:noWrap w:val="0"/>
            <w:vAlign w:val="center"/>
          </w:tcPr>
          <w:p>
            <w:pPr>
              <w:snapToGrid w:val="0"/>
              <w:spacing w:line="440" w:lineRule="exact"/>
              <w:ind w:firstLine="1528" w:firstLineChars="637"/>
              <w:jc w:val="center"/>
              <w:rPr>
                <w:rFonts w:ascii="Times New Roman" w:hAnsi="Times New Roman"/>
                <w:b w:val="0"/>
                <w:sz w:val="24"/>
                <w:szCs w:val="24"/>
              </w:rPr>
            </w:pPr>
            <w:r>
              <w:rPr>
                <w:rFonts w:ascii="Times New Roman" w:hAnsi="Times New Roman"/>
                <w:b w:val="0"/>
                <w:sz w:val="24"/>
                <w:szCs w:val="24"/>
              </w:rPr>
              <w:t>具体评分标准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 w:type="dxa"/>
            <w:noWrap w:val="0"/>
            <w:vAlign w:val="top"/>
          </w:tcPr>
          <w:p>
            <w:pPr>
              <w:snapToGrid w:val="0"/>
              <w:spacing w:line="440" w:lineRule="exact"/>
              <w:rPr>
                <w:rFonts w:ascii="Times New Roman" w:hAnsi="Times New Roman"/>
                <w:b w:val="0"/>
                <w:sz w:val="24"/>
                <w:szCs w:val="24"/>
              </w:rPr>
            </w:pPr>
            <w:r>
              <w:rPr>
                <w:rFonts w:ascii="Times New Roman" w:hAnsi="Times New Roman"/>
                <w:b w:val="0"/>
                <w:sz w:val="24"/>
                <w:szCs w:val="24"/>
              </w:rPr>
              <w:t>1</w:t>
            </w:r>
          </w:p>
        </w:tc>
        <w:tc>
          <w:tcPr>
            <w:tcW w:w="2188" w:type="dxa"/>
            <w:noWrap w:val="0"/>
            <w:vAlign w:val="top"/>
          </w:tcPr>
          <w:p>
            <w:pPr>
              <w:snapToGrid w:val="0"/>
              <w:spacing w:line="440" w:lineRule="exact"/>
              <w:rPr>
                <w:rFonts w:ascii="Times New Roman" w:hAnsi="Times New Roman"/>
                <w:b w:val="0"/>
                <w:sz w:val="24"/>
                <w:szCs w:val="24"/>
              </w:rPr>
            </w:pPr>
            <w:r>
              <w:rPr>
                <w:rFonts w:ascii="Times New Roman" w:hAnsi="Times New Roman"/>
                <w:b w:val="0"/>
                <w:sz w:val="24"/>
                <w:szCs w:val="24"/>
              </w:rPr>
              <w:t>制定规范的章程</w:t>
            </w:r>
          </w:p>
        </w:tc>
        <w:tc>
          <w:tcPr>
            <w:tcW w:w="724" w:type="dxa"/>
            <w:noWrap w:val="0"/>
            <w:vAlign w:val="top"/>
          </w:tcPr>
          <w:p>
            <w:pPr>
              <w:snapToGrid w:val="0"/>
              <w:spacing w:line="440" w:lineRule="exact"/>
              <w:rPr>
                <w:rFonts w:ascii="Times New Roman" w:hAnsi="Times New Roman"/>
                <w:b w:val="0"/>
                <w:sz w:val="24"/>
                <w:szCs w:val="24"/>
              </w:rPr>
            </w:pPr>
          </w:p>
        </w:tc>
        <w:tc>
          <w:tcPr>
            <w:tcW w:w="832" w:type="dxa"/>
            <w:noWrap w:val="0"/>
            <w:vAlign w:val="top"/>
          </w:tcPr>
          <w:p>
            <w:pPr>
              <w:snapToGrid w:val="0"/>
              <w:spacing w:line="440" w:lineRule="exact"/>
              <w:rPr>
                <w:rFonts w:ascii="Times New Roman" w:hAnsi="Times New Roman"/>
                <w:b w:val="0"/>
                <w:sz w:val="24"/>
                <w:szCs w:val="24"/>
              </w:rPr>
            </w:pPr>
          </w:p>
        </w:tc>
        <w:tc>
          <w:tcPr>
            <w:tcW w:w="6032" w:type="dxa"/>
            <w:noWrap w:val="0"/>
            <w:vAlign w:val="top"/>
          </w:tcPr>
          <w:p>
            <w:pPr>
              <w:snapToGrid w:val="0"/>
              <w:spacing w:line="440" w:lineRule="exact"/>
              <w:rPr>
                <w:rFonts w:ascii="Times New Roman" w:hAnsi="Times New Roman"/>
                <w:b w:val="0"/>
                <w:sz w:val="21"/>
                <w:szCs w:val="21"/>
              </w:rPr>
            </w:pPr>
            <w:r>
              <w:rPr>
                <w:rFonts w:ascii="Times New Roman" w:hAnsi="Times New Roman"/>
                <w:b w:val="0"/>
                <w:sz w:val="21"/>
                <w:szCs w:val="21"/>
              </w:rPr>
              <w:t>有规范的章程、协议，符合评估机构的实际。（10分）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332" w:type="dxa"/>
            <w:noWrap w:val="0"/>
            <w:vAlign w:val="top"/>
          </w:tcPr>
          <w:p>
            <w:pPr>
              <w:snapToGrid w:val="0"/>
              <w:spacing w:line="440" w:lineRule="exact"/>
              <w:rPr>
                <w:rFonts w:ascii="Times New Roman" w:hAnsi="Times New Roman"/>
                <w:b w:val="0"/>
                <w:sz w:val="24"/>
                <w:szCs w:val="24"/>
              </w:rPr>
            </w:pPr>
          </w:p>
          <w:p>
            <w:pPr>
              <w:snapToGrid w:val="0"/>
              <w:spacing w:line="440" w:lineRule="exact"/>
              <w:rPr>
                <w:rFonts w:ascii="Times New Roman" w:hAnsi="Times New Roman"/>
                <w:b w:val="0"/>
                <w:sz w:val="24"/>
                <w:szCs w:val="24"/>
              </w:rPr>
            </w:pPr>
            <w:r>
              <w:rPr>
                <w:rFonts w:ascii="Times New Roman" w:hAnsi="Times New Roman"/>
                <w:b w:val="0"/>
                <w:sz w:val="24"/>
                <w:szCs w:val="24"/>
              </w:rPr>
              <w:t>2</w:t>
            </w:r>
          </w:p>
        </w:tc>
        <w:tc>
          <w:tcPr>
            <w:tcW w:w="2188" w:type="dxa"/>
            <w:noWrap w:val="0"/>
            <w:vAlign w:val="center"/>
          </w:tcPr>
          <w:p>
            <w:pPr>
              <w:snapToGrid w:val="0"/>
              <w:spacing w:line="440" w:lineRule="exact"/>
              <w:rPr>
                <w:rFonts w:ascii="Times New Roman" w:hAnsi="Times New Roman"/>
                <w:b w:val="0"/>
                <w:sz w:val="24"/>
                <w:szCs w:val="24"/>
              </w:rPr>
            </w:pPr>
            <w:r>
              <w:rPr>
                <w:rFonts w:ascii="Times New Roman" w:hAnsi="Times New Roman"/>
                <w:b w:val="0"/>
                <w:sz w:val="24"/>
                <w:szCs w:val="24"/>
              </w:rPr>
              <w:t>股东（合伙人）变动符合章程（协议）规定</w:t>
            </w:r>
          </w:p>
        </w:tc>
        <w:tc>
          <w:tcPr>
            <w:tcW w:w="724" w:type="dxa"/>
            <w:noWrap w:val="0"/>
            <w:vAlign w:val="top"/>
          </w:tcPr>
          <w:p>
            <w:pPr>
              <w:snapToGrid w:val="0"/>
              <w:spacing w:line="440" w:lineRule="exact"/>
              <w:rPr>
                <w:rFonts w:ascii="Times New Roman" w:hAnsi="Times New Roman"/>
                <w:b w:val="0"/>
                <w:sz w:val="24"/>
                <w:szCs w:val="24"/>
              </w:rPr>
            </w:pPr>
          </w:p>
        </w:tc>
        <w:tc>
          <w:tcPr>
            <w:tcW w:w="832" w:type="dxa"/>
            <w:noWrap w:val="0"/>
            <w:vAlign w:val="top"/>
          </w:tcPr>
          <w:p>
            <w:pPr>
              <w:snapToGrid w:val="0"/>
              <w:spacing w:line="440" w:lineRule="exact"/>
              <w:rPr>
                <w:rFonts w:ascii="Times New Roman" w:hAnsi="Times New Roman"/>
                <w:b w:val="0"/>
                <w:sz w:val="24"/>
                <w:szCs w:val="24"/>
              </w:rPr>
            </w:pPr>
          </w:p>
        </w:tc>
        <w:tc>
          <w:tcPr>
            <w:tcW w:w="6032" w:type="dxa"/>
            <w:noWrap w:val="0"/>
            <w:vAlign w:val="top"/>
          </w:tcPr>
          <w:p>
            <w:pPr>
              <w:snapToGrid w:val="0"/>
              <w:spacing w:line="440" w:lineRule="exact"/>
              <w:rPr>
                <w:rFonts w:ascii="Times New Roman" w:hAnsi="Times New Roman"/>
                <w:b w:val="0"/>
                <w:sz w:val="21"/>
                <w:szCs w:val="21"/>
              </w:rPr>
            </w:pPr>
            <w:r>
              <w:rPr>
                <w:rFonts w:ascii="Times New Roman" w:hAnsi="Times New Roman"/>
                <w:b w:val="0"/>
                <w:sz w:val="21"/>
                <w:szCs w:val="21"/>
              </w:rPr>
              <w:t>股东、合伙人评价期保持稳定，变更符合章程（协议）规定，没有纠纷。（10分）</w:t>
            </w:r>
          </w:p>
          <w:p>
            <w:pPr>
              <w:snapToGrid w:val="0"/>
              <w:spacing w:line="440" w:lineRule="exact"/>
              <w:rPr>
                <w:rFonts w:ascii="Times New Roman" w:hAnsi="Times New Roman"/>
                <w:b w:val="0"/>
                <w:sz w:val="21"/>
                <w:szCs w:val="21"/>
              </w:rPr>
            </w:pPr>
            <w:r>
              <w:rPr>
                <w:rFonts w:ascii="Times New Roman" w:hAnsi="Times New Roman"/>
                <w:b w:val="0"/>
                <w:sz w:val="21"/>
                <w:szCs w:val="21"/>
              </w:rPr>
              <w:t>如果股东、合伙人评价期发生非正常变更，或发生重大纠纷不得分。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 w:type="dxa"/>
            <w:noWrap w:val="0"/>
            <w:vAlign w:val="top"/>
          </w:tcPr>
          <w:p>
            <w:pPr>
              <w:snapToGrid w:val="0"/>
              <w:spacing w:line="440" w:lineRule="exact"/>
              <w:rPr>
                <w:rFonts w:ascii="Times New Roman" w:hAnsi="Times New Roman"/>
                <w:b w:val="0"/>
                <w:sz w:val="24"/>
                <w:szCs w:val="24"/>
              </w:rPr>
            </w:pPr>
          </w:p>
          <w:p>
            <w:pPr>
              <w:snapToGrid w:val="0"/>
              <w:spacing w:line="440" w:lineRule="exact"/>
              <w:rPr>
                <w:rFonts w:ascii="Times New Roman" w:hAnsi="Times New Roman"/>
                <w:b w:val="0"/>
                <w:sz w:val="24"/>
                <w:szCs w:val="24"/>
              </w:rPr>
            </w:pPr>
          </w:p>
          <w:p>
            <w:pPr>
              <w:snapToGrid w:val="0"/>
              <w:spacing w:line="440" w:lineRule="exact"/>
              <w:rPr>
                <w:rFonts w:ascii="Times New Roman" w:hAnsi="Times New Roman"/>
                <w:b w:val="0"/>
                <w:sz w:val="24"/>
                <w:szCs w:val="24"/>
              </w:rPr>
            </w:pPr>
            <w:r>
              <w:rPr>
                <w:rFonts w:ascii="Times New Roman" w:hAnsi="Times New Roman"/>
                <w:b w:val="0"/>
                <w:sz w:val="24"/>
                <w:szCs w:val="24"/>
              </w:rPr>
              <w:t>3</w:t>
            </w:r>
          </w:p>
        </w:tc>
        <w:tc>
          <w:tcPr>
            <w:tcW w:w="2188" w:type="dxa"/>
            <w:noWrap w:val="0"/>
            <w:vAlign w:val="center"/>
          </w:tcPr>
          <w:p>
            <w:pPr>
              <w:snapToGrid w:val="0"/>
              <w:spacing w:line="440" w:lineRule="exact"/>
              <w:rPr>
                <w:rFonts w:ascii="Times New Roman" w:hAnsi="Times New Roman"/>
                <w:b w:val="0"/>
                <w:sz w:val="24"/>
                <w:szCs w:val="24"/>
              </w:rPr>
            </w:pPr>
            <w:r>
              <w:rPr>
                <w:rFonts w:ascii="Times New Roman" w:hAnsi="Times New Roman"/>
                <w:b w:val="0"/>
                <w:sz w:val="24"/>
                <w:szCs w:val="24"/>
              </w:rPr>
              <w:t>股东会、合伙人会议规范</w:t>
            </w:r>
          </w:p>
        </w:tc>
        <w:tc>
          <w:tcPr>
            <w:tcW w:w="724" w:type="dxa"/>
            <w:noWrap w:val="0"/>
            <w:vAlign w:val="top"/>
          </w:tcPr>
          <w:p>
            <w:pPr>
              <w:snapToGrid w:val="0"/>
              <w:spacing w:line="440" w:lineRule="exact"/>
              <w:rPr>
                <w:rFonts w:ascii="Times New Roman" w:hAnsi="Times New Roman"/>
                <w:b w:val="0"/>
                <w:sz w:val="24"/>
                <w:szCs w:val="24"/>
              </w:rPr>
            </w:pPr>
          </w:p>
        </w:tc>
        <w:tc>
          <w:tcPr>
            <w:tcW w:w="832" w:type="dxa"/>
            <w:noWrap w:val="0"/>
            <w:vAlign w:val="top"/>
          </w:tcPr>
          <w:p>
            <w:pPr>
              <w:snapToGrid w:val="0"/>
              <w:spacing w:line="440" w:lineRule="exact"/>
              <w:rPr>
                <w:rFonts w:ascii="Times New Roman" w:hAnsi="Times New Roman"/>
                <w:b w:val="0"/>
                <w:sz w:val="24"/>
                <w:szCs w:val="24"/>
              </w:rPr>
            </w:pPr>
          </w:p>
        </w:tc>
        <w:tc>
          <w:tcPr>
            <w:tcW w:w="6032" w:type="dxa"/>
            <w:noWrap w:val="0"/>
            <w:vAlign w:val="top"/>
          </w:tcPr>
          <w:p>
            <w:pPr>
              <w:snapToGrid w:val="0"/>
              <w:spacing w:line="440" w:lineRule="exact"/>
              <w:rPr>
                <w:rFonts w:ascii="Times New Roman" w:hAnsi="Times New Roman"/>
                <w:b w:val="0"/>
                <w:sz w:val="21"/>
                <w:szCs w:val="21"/>
              </w:rPr>
            </w:pPr>
            <w:r>
              <w:rPr>
                <w:rFonts w:ascii="Times New Roman"/>
                <w:b w:val="0"/>
                <w:sz w:val="21"/>
                <w:szCs w:val="21"/>
              </w:rPr>
              <w:t>⑴</w:t>
            </w:r>
            <w:r>
              <w:rPr>
                <w:rFonts w:ascii="Times New Roman" w:hAnsi="Times New Roman"/>
                <w:b w:val="0"/>
                <w:sz w:val="21"/>
                <w:szCs w:val="21"/>
              </w:rPr>
              <w:t>有明确的股东会（或合伙人会）职权范围、议事规则，和表决程序（3分）；</w:t>
            </w:r>
            <w:r>
              <w:rPr>
                <w:rFonts w:ascii="Times New Roman"/>
                <w:b w:val="0"/>
                <w:sz w:val="21"/>
                <w:szCs w:val="21"/>
              </w:rPr>
              <w:t>⑵</w:t>
            </w:r>
            <w:r>
              <w:rPr>
                <w:rFonts w:ascii="Times New Roman" w:hAnsi="Times New Roman"/>
                <w:b w:val="0"/>
                <w:sz w:val="21"/>
                <w:szCs w:val="21"/>
              </w:rPr>
              <w:t>股东（或合伙人）有充分的参与议事、讨论、决策的权力（3分）；</w:t>
            </w:r>
            <w:r>
              <w:rPr>
                <w:rFonts w:ascii="Times New Roman"/>
                <w:b w:val="0"/>
                <w:sz w:val="21"/>
                <w:szCs w:val="21"/>
              </w:rPr>
              <w:t>⑶</w:t>
            </w:r>
            <w:r>
              <w:rPr>
                <w:rFonts w:ascii="Times New Roman" w:hAnsi="Times New Roman"/>
                <w:b w:val="0"/>
                <w:sz w:val="21"/>
                <w:szCs w:val="21"/>
              </w:rPr>
              <w:t>股东会（或合伙人会）能按照相关独立的程序履行权力和义务（4分）；</w:t>
            </w:r>
            <w:r>
              <w:rPr>
                <w:rFonts w:ascii="Times New Roman"/>
                <w:b w:val="0"/>
                <w:sz w:val="21"/>
                <w:szCs w:val="21"/>
              </w:rPr>
              <w:t>⑷</w:t>
            </w:r>
            <w:r>
              <w:rPr>
                <w:rFonts w:ascii="Times New Roman" w:hAnsi="Times New Roman"/>
                <w:b w:val="0"/>
                <w:sz w:val="21"/>
                <w:szCs w:val="21"/>
              </w:rPr>
              <w:t>按章程、协议定期召开股东会（或合伙人会），有会议记录等文字资料（5分）。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 w:type="dxa"/>
            <w:noWrap w:val="0"/>
            <w:vAlign w:val="top"/>
          </w:tcPr>
          <w:p>
            <w:pPr>
              <w:snapToGrid w:val="0"/>
              <w:spacing w:line="440" w:lineRule="exact"/>
              <w:rPr>
                <w:rFonts w:ascii="Times New Roman" w:hAnsi="Times New Roman"/>
                <w:b w:val="0"/>
                <w:sz w:val="24"/>
                <w:szCs w:val="24"/>
              </w:rPr>
            </w:pPr>
          </w:p>
          <w:p>
            <w:pPr>
              <w:snapToGrid w:val="0"/>
              <w:spacing w:line="440" w:lineRule="exact"/>
              <w:rPr>
                <w:rFonts w:ascii="Times New Roman" w:hAnsi="Times New Roman"/>
                <w:b w:val="0"/>
                <w:sz w:val="24"/>
                <w:szCs w:val="24"/>
              </w:rPr>
            </w:pPr>
            <w:r>
              <w:rPr>
                <w:rFonts w:ascii="Times New Roman" w:hAnsi="Times New Roman"/>
                <w:b w:val="0"/>
                <w:sz w:val="24"/>
                <w:szCs w:val="24"/>
              </w:rPr>
              <w:t>4</w:t>
            </w:r>
          </w:p>
        </w:tc>
        <w:tc>
          <w:tcPr>
            <w:tcW w:w="2188" w:type="dxa"/>
            <w:noWrap w:val="0"/>
            <w:vAlign w:val="center"/>
          </w:tcPr>
          <w:p>
            <w:pPr>
              <w:snapToGrid w:val="0"/>
              <w:spacing w:line="440" w:lineRule="exact"/>
              <w:rPr>
                <w:rFonts w:ascii="Times New Roman" w:hAnsi="Times New Roman"/>
                <w:b w:val="0"/>
                <w:sz w:val="24"/>
                <w:szCs w:val="24"/>
              </w:rPr>
            </w:pPr>
            <w:r>
              <w:rPr>
                <w:rFonts w:ascii="Times New Roman" w:hAnsi="Times New Roman"/>
                <w:b w:val="0"/>
                <w:sz w:val="24"/>
                <w:szCs w:val="24"/>
              </w:rPr>
              <w:t>制定完善的内部管理制度并有效执行</w:t>
            </w:r>
          </w:p>
        </w:tc>
        <w:tc>
          <w:tcPr>
            <w:tcW w:w="724" w:type="dxa"/>
            <w:noWrap w:val="0"/>
            <w:vAlign w:val="top"/>
          </w:tcPr>
          <w:p>
            <w:pPr>
              <w:snapToGrid w:val="0"/>
              <w:spacing w:line="440" w:lineRule="exact"/>
              <w:rPr>
                <w:rFonts w:ascii="Times New Roman" w:hAnsi="Times New Roman"/>
                <w:b w:val="0"/>
                <w:sz w:val="24"/>
                <w:szCs w:val="24"/>
              </w:rPr>
            </w:pPr>
          </w:p>
        </w:tc>
        <w:tc>
          <w:tcPr>
            <w:tcW w:w="832" w:type="dxa"/>
            <w:noWrap w:val="0"/>
            <w:vAlign w:val="top"/>
          </w:tcPr>
          <w:p>
            <w:pPr>
              <w:snapToGrid w:val="0"/>
              <w:spacing w:line="440" w:lineRule="exact"/>
              <w:rPr>
                <w:rFonts w:ascii="Times New Roman" w:hAnsi="Times New Roman"/>
                <w:b w:val="0"/>
                <w:sz w:val="24"/>
                <w:szCs w:val="24"/>
              </w:rPr>
            </w:pPr>
          </w:p>
        </w:tc>
        <w:tc>
          <w:tcPr>
            <w:tcW w:w="6032" w:type="dxa"/>
            <w:noWrap w:val="0"/>
            <w:vAlign w:val="top"/>
          </w:tcPr>
          <w:p>
            <w:pPr>
              <w:snapToGrid w:val="0"/>
              <w:spacing w:line="440" w:lineRule="exact"/>
              <w:rPr>
                <w:rFonts w:ascii="Times New Roman" w:hAnsi="Times New Roman"/>
                <w:b w:val="0"/>
                <w:sz w:val="21"/>
                <w:szCs w:val="21"/>
              </w:rPr>
            </w:pPr>
            <w:r>
              <w:rPr>
                <w:rFonts w:ascii="Times New Roman" w:hAnsi="Times New Roman"/>
                <w:b w:val="0"/>
                <w:sz w:val="21"/>
                <w:szCs w:val="21"/>
              </w:rPr>
              <w:t>内部管理制度应包括：人事管理制度、财务管理制度、执业质量控制制度、评估业务管理制度、业务档案管理制度、收费管理制度、后续教育及培训制度。（14分，少1项扣2分）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332" w:type="dxa"/>
            <w:noWrap w:val="0"/>
            <w:vAlign w:val="top"/>
          </w:tcPr>
          <w:p>
            <w:pPr>
              <w:snapToGrid w:val="0"/>
              <w:spacing w:line="440" w:lineRule="exact"/>
              <w:rPr>
                <w:rFonts w:ascii="Times New Roman" w:hAnsi="Times New Roman"/>
                <w:b w:val="0"/>
                <w:sz w:val="24"/>
                <w:szCs w:val="24"/>
              </w:rPr>
            </w:pPr>
            <w:r>
              <w:rPr>
                <w:rFonts w:ascii="Times New Roman" w:hAnsi="Times New Roman"/>
                <w:b w:val="0"/>
                <w:sz w:val="24"/>
                <w:szCs w:val="24"/>
              </w:rPr>
              <w:t>5</w:t>
            </w:r>
          </w:p>
        </w:tc>
        <w:tc>
          <w:tcPr>
            <w:tcW w:w="2188" w:type="dxa"/>
            <w:noWrap w:val="0"/>
            <w:vAlign w:val="top"/>
          </w:tcPr>
          <w:p>
            <w:pPr>
              <w:snapToGrid w:val="0"/>
              <w:spacing w:line="440" w:lineRule="exact"/>
              <w:rPr>
                <w:rFonts w:ascii="Times New Roman" w:hAnsi="Times New Roman"/>
                <w:b w:val="0"/>
                <w:sz w:val="24"/>
                <w:szCs w:val="24"/>
              </w:rPr>
            </w:pPr>
            <w:r>
              <w:rPr>
                <w:rFonts w:ascii="Times New Roman" w:hAnsi="Times New Roman"/>
                <w:b w:val="0"/>
                <w:sz w:val="24"/>
                <w:szCs w:val="24"/>
              </w:rPr>
              <w:t>设立独立执业质量复核部门及人员</w:t>
            </w:r>
          </w:p>
        </w:tc>
        <w:tc>
          <w:tcPr>
            <w:tcW w:w="724" w:type="dxa"/>
            <w:noWrap w:val="0"/>
            <w:vAlign w:val="top"/>
          </w:tcPr>
          <w:p>
            <w:pPr>
              <w:snapToGrid w:val="0"/>
              <w:spacing w:line="440" w:lineRule="exact"/>
              <w:rPr>
                <w:rFonts w:ascii="Times New Roman" w:hAnsi="Times New Roman"/>
                <w:b w:val="0"/>
                <w:sz w:val="24"/>
                <w:szCs w:val="24"/>
              </w:rPr>
            </w:pPr>
          </w:p>
        </w:tc>
        <w:tc>
          <w:tcPr>
            <w:tcW w:w="832" w:type="dxa"/>
            <w:noWrap w:val="0"/>
            <w:vAlign w:val="top"/>
          </w:tcPr>
          <w:p>
            <w:pPr>
              <w:snapToGrid w:val="0"/>
              <w:spacing w:line="440" w:lineRule="exact"/>
              <w:rPr>
                <w:rFonts w:ascii="Times New Roman" w:hAnsi="Times New Roman"/>
                <w:b w:val="0"/>
                <w:sz w:val="24"/>
                <w:szCs w:val="24"/>
              </w:rPr>
            </w:pPr>
          </w:p>
        </w:tc>
        <w:tc>
          <w:tcPr>
            <w:tcW w:w="6032" w:type="dxa"/>
            <w:noWrap w:val="0"/>
            <w:vAlign w:val="top"/>
          </w:tcPr>
          <w:p>
            <w:pPr>
              <w:snapToGrid w:val="0"/>
              <w:spacing w:line="440" w:lineRule="exact"/>
              <w:rPr>
                <w:rFonts w:ascii="Times New Roman" w:hAnsi="Times New Roman"/>
                <w:b w:val="0"/>
                <w:sz w:val="21"/>
                <w:szCs w:val="21"/>
              </w:rPr>
            </w:pPr>
            <w:r>
              <w:rPr>
                <w:rFonts w:ascii="Times New Roman"/>
                <w:b w:val="0"/>
                <w:sz w:val="21"/>
                <w:szCs w:val="21"/>
              </w:rPr>
              <w:t>⑴</w:t>
            </w:r>
            <w:r>
              <w:rPr>
                <w:rFonts w:ascii="Times New Roman" w:hAnsi="Times New Roman"/>
                <w:b w:val="0"/>
                <w:sz w:val="21"/>
                <w:szCs w:val="21"/>
              </w:rPr>
              <w:t>设独立复核部门的；（10分）</w:t>
            </w:r>
          </w:p>
          <w:p>
            <w:pPr>
              <w:snapToGrid w:val="0"/>
              <w:spacing w:line="440" w:lineRule="exact"/>
              <w:rPr>
                <w:rFonts w:ascii="Times New Roman" w:hAnsi="Times New Roman"/>
                <w:b w:val="0"/>
                <w:sz w:val="21"/>
                <w:szCs w:val="21"/>
              </w:rPr>
            </w:pPr>
            <w:r>
              <w:rPr>
                <w:rFonts w:ascii="Times New Roman"/>
                <w:b w:val="0"/>
                <w:sz w:val="21"/>
                <w:szCs w:val="21"/>
              </w:rPr>
              <w:t>⑵</w:t>
            </w:r>
            <w:r>
              <w:rPr>
                <w:rFonts w:ascii="Times New Roman" w:hAnsi="Times New Roman"/>
                <w:b w:val="0"/>
                <w:sz w:val="21"/>
                <w:szCs w:val="21"/>
              </w:rPr>
              <w:t>没有设立独立复核部门，但有专门复核人员。（5分）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 w:type="dxa"/>
            <w:noWrap w:val="0"/>
            <w:vAlign w:val="top"/>
          </w:tcPr>
          <w:p>
            <w:pPr>
              <w:snapToGrid w:val="0"/>
              <w:spacing w:line="440" w:lineRule="exact"/>
              <w:rPr>
                <w:rFonts w:ascii="Times New Roman" w:hAnsi="Times New Roman"/>
                <w:b w:val="0"/>
                <w:sz w:val="24"/>
                <w:szCs w:val="24"/>
              </w:rPr>
            </w:pPr>
          </w:p>
          <w:p>
            <w:pPr>
              <w:snapToGrid w:val="0"/>
              <w:spacing w:line="440" w:lineRule="exact"/>
              <w:rPr>
                <w:rFonts w:ascii="Times New Roman" w:hAnsi="Times New Roman"/>
                <w:b w:val="0"/>
                <w:sz w:val="24"/>
                <w:szCs w:val="24"/>
              </w:rPr>
            </w:pPr>
          </w:p>
          <w:p>
            <w:pPr>
              <w:snapToGrid w:val="0"/>
              <w:spacing w:line="440" w:lineRule="exact"/>
              <w:rPr>
                <w:rFonts w:ascii="Times New Roman" w:hAnsi="Times New Roman"/>
                <w:b w:val="0"/>
                <w:sz w:val="24"/>
                <w:szCs w:val="24"/>
              </w:rPr>
            </w:pPr>
            <w:r>
              <w:rPr>
                <w:rFonts w:ascii="Times New Roman" w:hAnsi="Times New Roman"/>
                <w:b w:val="0"/>
                <w:sz w:val="24"/>
                <w:szCs w:val="24"/>
              </w:rPr>
              <w:t>6</w:t>
            </w:r>
          </w:p>
        </w:tc>
        <w:tc>
          <w:tcPr>
            <w:tcW w:w="2188" w:type="dxa"/>
            <w:noWrap w:val="0"/>
            <w:vAlign w:val="center"/>
          </w:tcPr>
          <w:p>
            <w:pPr>
              <w:snapToGrid w:val="0"/>
              <w:spacing w:line="440" w:lineRule="exact"/>
              <w:rPr>
                <w:rFonts w:ascii="Times New Roman" w:hAnsi="Times New Roman"/>
                <w:b w:val="0"/>
                <w:sz w:val="24"/>
                <w:szCs w:val="24"/>
              </w:rPr>
            </w:pPr>
            <w:r>
              <w:rPr>
                <w:rFonts w:ascii="Times New Roman" w:hAnsi="Times New Roman"/>
                <w:b w:val="0"/>
                <w:sz w:val="24"/>
                <w:szCs w:val="24"/>
              </w:rPr>
              <w:t>资产评估师管理情况</w:t>
            </w:r>
          </w:p>
        </w:tc>
        <w:tc>
          <w:tcPr>
            <w:tcW w:w="724" w:type="dxa"/>
            <w:noWrap w:val="0"/>
            <w:vAlign w:val="top"/>
          </w:tcPr>
          <w:p>
            <w:pPr>
              <w:snapToGrid w:val="0"/>
              <w:spacing w:line="440" w:lineRule="exact"/>
              <w:rPr>
                <w:rFonts w:ascii="Times New Roman" w:hAnsi="Times New Roman"/>
                <w:b w:val="0"/>
                <w:sz w:val="24"/>
                <w:szCs w:val="24"/>
              </w:rPr>
            </w:pPr>
          </w:p>
        </w:tc>
        <w:tc>
          <w:tcPr>
            <w:tcW w:w="832" w:type="dxa"/>
            <w:noWrap w:val="0"/>
            <w:vAlign w:val="top"/>
          </w:tcPr>
          <w:p>
            <w:pPr>
              <w:snapToGrid w:val="0"/>
              <w:spacing w:line="440" w:lineRule="exact"/>
              <w:rPr>
                <w:rFonts w:ascii="Times New Roman" w:hAnsi="Times New Roman"/>
                <w:b w:val="0"/>
                <w:sz w:val="24"/>
                <w:szCs w:val="24"/>
              </w:rPr>
            </w:pPr>
          </w:p>
        </w:tc>
        <w:tc>
          <w:tcPr>
            <w:tcW w:w="6032" w:type="dxa"/>
            <w:noWrap w:val="0"/>
            <w:vAlign w:val="top"/>
          </w:tcPr>
          <w:p>
            <w:pPr>
              <w:snapToGrid w:val="0"/>
              <w:spacing w:line="440" w:lineRule="exact"/>
              <w:rPr>
                <w:rFonts w:ascii="Times New Roman" w:hAnsi="Times New Roman"/>
                <w:b w:val="0"/>
                <w:sz w:val="21"/>
                <w:szCs w:val="21"/>
              </w:rPr>
            </w:pPr>
            <w:r>
              <w:rPr>
                <w:rFonts w:ascii="Times New Roman"/>
                <w:b w:val="0"/>
                <w:sz w:val="21"/>
                <w:szCs w:val="21"/>
              </w:rPr>
              <w:t>⑴</w:t>
            </w:r>
            <w:r>
              <w:rPr>
                <w:rFonts w:ascii="Times New Roman" w:hAnsi="Times New Roman"/>
                <w:b w:val="0"/>
                <w:sz w:val="21"/>
                <w:szCs w:val="21"/>
              </w:rPr>
              <w:t>在评价期</w:t>
            </w:r>
            <w:bookmarkStart w:id="0" w:name="_GoBack"/>
            <w:bookmarkEnd w:id="0"/>
            <w:r>
              <w:rPr>
                <w:rFonts w:ascii="Times New Roman" w:hAnsi="Times New Roman"/>
                <w:b w:val="0"/>
                <w:sz w:val="21"/>
                <w:szCs w:val="21"/>
              </w:rPr>
              <w:t>资产评估师转所、转会没有发生纠纷，正常顺利转所、转会。（5分，如发生重大纠纷，不得分）</w:t>
            </w:r>
          </w:p>
          <w:p>
            <w:pPr>
              <w:snapToGrid w:val="0"/>
              <w:spacing w:line="440" w:lineRule="exact"/>
              <w:rPr>
                <w:rFonts w:ascii="Times New Roman" w:hAnsi="Times New Roman"/>
                <w:b w:val="0"/>
                <w:sz w:val="21"/>
                <w:szCs w:val="21"/>
              </w:rPr>
            </w:pPr>
            <w:r>
              <w:rPr>
                <w:rFonts w:ascii="Times New Roman"/>
                <w:b w:val="0"/>
                <w:sz w:val="21"/>
                <w:szCs w:val="21"/>
              </w:rPr>
              <w:t>⑵</w:t>
            </w:r>
            <w:r>
              <w:rPr>
                <w:rFonts w:ascii="Times New Roman" w:hAnsi="Times New Roman"/>
                <w:b w:val="0"/>
                <w:sz w:val="21"/>
                <w:szCs w:val="21"/>
              </w:rPr>
              <w:t>与评估师签订规范的聘用合同。（10分）</w:t>
            </w:r>
          </w:p>
          <w:p>
            <w:pPr>
              <w:snapToGrid w:val="0"/>
              <w:spacing w:line="440" w:lineRule="exact"/>
              <w:rPr>
                <w:rFonts w:ascii="Times New Roman" w:hAnsi="Times New Roman"/>
                <w:b w:val="0"/>
                <w:sz w:val="21"/>
                <w:szCs w:val="21"/>
              </w:rPr>
            </w:pPr>
            <w:r>
              <w:rPr>
                <w:rFonts w:ascii="Times New Roman"/>
                <w:b w:val="0"/>
                <w:sz w:val="21"/>
                <w:szCs w:val="21"/>
              </w:rPr>
              <w:t>⑶</w:t>
            </w:r>
            <w:r>
              <w:rPr>
                <w:rFonts w:ascii="Times New Roman" w:hAnsi="Times New Roman"/>
                <w:b w:val="0"/>
                <w:sz w:val="21"/>
                <w:szCs w:val="21"/>
              </w:rPr>
              <w:t>为评估师购买社保，得分=（实际购买社保评估师/评估机构评估师人数）×10。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 w:type="dxa"/>
            <w:noWrap w:val="0"/>
            <w:vAlign w:val="top"/>
          </w:tcPr>
          <w:p>
            <w:pPr>
              <w:snapToGrid w:val="0"/>
              <w:spacing w:line="440" w:lineRule="exact"/>
              <w:jc w:val="center"/>
              <w:rPr>
                <w:rFonts w:ascii="Times New Roman" w:hAnsi="Times New Roman"/>
                <w:b w:val="0"/>
                <w:sz w:val="24"/>
                <w:szCs w:val="24"/>
              </w:rPr>
            </w:pPr>
            <w:r>
              <w:rPr>
                <w:rFonts w:ascii="Times New Roman" w:hAnsi="Times New Roman"/>
                <w:b w:val="0"/>
                <w:sz w:val="24"/>
                <w:szCs w:val="24"/>
              </w:rPr>
              <w:t>7</w:t>
            </w:r>
          </w:p>
        </w:tc>
        <w:tc>
          <w:tcPr>
            <w:tcW w:w="2188" w:type="dxa"/>
            <w:noWrap w:val="0"/>
            <w:vAlign w:val="center"/>
          </w:tcPr>
          <w:p>
            <w:pPr>
              <w:snapToGrid w:val="0"/>
              <w:spacing w:line="440" w:lineRule="exact"/>
              <w:rPr>
                <w:rFonts w:ascii="Times New Roman" w:hAnsi="Times New Roman"/>
                <w:b w:val="0"/>
                <w:sz w:val="24"/>
                <w:szCs w:val="24"/>
              </w:rPr>
            </w:pPr>
            <w:r>
              <w:rPr>
                <w:rFonts w:ascii="Times New Roman" w:hAnsi="Times New Roman"/>
                <w:b w:val="0"/>
                <w:sz w:val="24"/>
                <w:szCs w:val="24"/>
              </w:rPr>
              <w:t>网络建设情况</w:t>
            </w:r>
          </w:p>
        </w:tc>
        <w:tc>
          <w:tcPr>
            <w:tcW w:w="724" w:type="dxa"/>
            <w:noWrap w:val="0"/>
            <w:vAlign w:val="top"/>
          </w:tcPr>
          <w:p>
            <w:pPr>
              <w:snapToGrid w:val="0"/>
              <w:spacing w:line="440" w:lineRule="exact"/>
              <w:rPr>
                <w:rFonts w:ascii="Times New Roman" w:hAnsi="Times New Roman"/>
                <w:b w:val="0"/>
                <w:sz w:val="24"/>
                <w:szCs w:val="24"/>
              </w:rPr>
            </w:pPr>
          </w:p>
        </w:tc>
        <w:tc>
          <w:tcPr>
            <w:tcW w:w="832" w:type="dxa"/>
            <w:noWrap w:val="0"/>
            <w:vAlign w:val="top"/>
          </w:tcPr>
          <w:p>
            <w:pPr>
              <w:snapToGrid w:val="0"/>
              <w:spacing w:line="440" w:lineRule="exact"/>
              <w:rPr>
                <w:rFonts w:ascii="Times New Roman" w:hAnsi="Times New Roman"/>
                <w:b w:val="0"/>
                <w:sz w:val="24"/>
                <w:szCs w:val="24"/>
              </w:rPr>
            </w:pPr>
          </w:p>
        </w:tc>
        <w:tc>
          <w:tcPr>
            <w:tcW w:w="6032" w:type="dxa"/>
            <w:noWrap w:val="0"/>
            <w:vAlign w:val="top"/>
          </w:tcPr>
          <w:p>
            <w:pPr>
              <w:snapToGrid w:val="0"/>
              <w:spacing w:line="440" w:lineRule="exact"/>
              <w:rPr>
                <w:rFonts w:ascii="Times New Roman" w:hAnsi="Times New Roman"/>
                <w:b w:val="0"/>
                <w:sz w:val="21"/>
                <w:szCs w:val="21"/>
              </w:rPr>
            </w:pPr>
            <w:r>
              <w:rPr>
                <w:rFonts w:ascii="Times New Roman"/>
                <w:b w:val="0"/>
                <w:sz w:val="21"/>
                <w:szCs w:val="21"/>
              </w:rPr>
              <w:t>⑴</w:t>
            </w:r>
            <w:r>
              <w:rPr>
                <w:rFonts w:ascii="Times New Roman" w:hAnsi="Times New Roman"/>
                <w:b w:val="0"/>
                <w:sz w:val="21"/>
                <w:szCs w:val="21"/>
              </w:rPr>
              <w:t>评估机构有自己的局域网。（10分）</w:t>
            </w:r>
          </w:p>
          <w:p>
            <w:pPr>
              <w:snapToGrid w:val="0"/>
              <w:spacing w:line="440" w:lineRule="exact"/>
              <w:rPr>
                <w:rFonts w:ascii="Times New Roman" w:hAnsi="Times New Roman"/>
                <w:b w:val="0"/>
                <w:sz w:val="21"/>
                <w:szCs w:val="21"/>
              </w:rPr>
            </w:pPr>
            <w:r>
              <w:rPr>
                <w:rFonts w:ascii="Times New Roman"/>
                <w:b w:val="0"/>
                <w:sz w:val="21"/>
                <w:szCs w:val="21"/>
              </w:rPr>
              <w:t>⑵</w:t>
            </w:r>
            <w:r>
              <w:rPr>
                <w:rFonts w:ascii="Times New Roman" w:hAnsi="Times New Roman"/>
                <w:b w:val="0"/>
                <w:sz w:val="21"/>
                <w:szCs w:val="21"/>
              </w:rPr>
              <w:t>建立评估机构自己的网站。（15分）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 w:type="dxa"/>
            <w:noWrap w:val="0"/>
            <w:vAlign w:val="top"/>
          </w:tcPr>
          <w:p>
            <w:pPr>
              <w:snapToGrid w:val="0"/>
              <w:spacing w:line="440" w:lineRule="exact"/>
              <w:jc w:val="center"/>
              <w:rPr>
                <w:rFonts w:ascii="Times New Roman" w:hAnsi="Times New Roman"/>
                <w:b w:val="0"/>
                <w:sz w:val="24"/>
                <w:szCs w:val="24"/>
              </w:rPr>
            </w:pPr>
            <w:r>
              <w:rPr>
                <w:rFonts w:ascii="Times New Roman" w:hAnsi="Times New Roman"/>
                <w:b w:val="0"/>
                <w:sz w:val="24"/>
                <w:szCs w:val="24"/>
              </w:rPr>
              <w:t>8</w:t>
            </w:r>
          </w:p>
        </w:tc>
        <w:tc>
          <w:tcPr>
            <w:tcW w:w="2188" w:type="dxa"/>
            <w:noWrap w:val="0"/>
            <w:vAlign w:val="center"/>
          </w:tcPr>
          <w:p>
            <w:pPr>
              <w:snapToGrid w:val="0"/>
              <w:spacing w:line="440" w:lineRule="exact"/>
              <w:rPr>
                <w:rFonts w:ascii="Times New Roman" w:hAnsi="Times New Roman"/>
                <w:b w:val="0"/>
                <w:sz w:val="24"/>
                <w:szCs w:val="24"/>
              </w:rPr>
            </w:pPr>
            <w:r>
              <w:rPr>
                <w:rFonts w:ascii="Times New Roman" w:hAnsi="Times New Roman"/>
                <w:b w:val="0"/>
                <w:sz w:val="24"/>
                <w:szCs w:val="24"/>
              </w:rPr>
              <w:t>文化建设情况</w:t>
            </w:r>
          </w:p>
        </w:tc>
        <w:tc>
          <w:tcPr>
            <w:tcW w:w="724" w:type="dxa"/>
            <w:noWrap w:val="0"/>
            <w:vAlign w:val="top"/>
          </w:tcPr>
          <w:p>
            <w:pPr>
              <w:snapToGrid w:val="0"/>
              <w:spacing w:line="440" w:lineRule="exact"/>
              <w:rPr>
                <w:rFonts w:ascii="Times New Roman" w:hAnsi="Times New Roman"/>
                <w:b w:val="0"/>
                <w:sz w:val="24"/>
                <w:szCs w:val="24"/>
              </w:rPr>
            </w:pPr>
          </w:p>
        </w:tc>
        <w:tc>
          <w:tcPr>
            <w:tcW w:w="832" w:type="dxa"/>
            <w:noWrap w:val="0"/>
            <w:vAlign w:val="top"/>
          </w:tcPr>
          <w:p>
            <w:pPr>
              <w:snapToGrid w:val="0"/>
              <w:spacing w:line="440" w:lineRule="exact"/>
              <w:rPr>
                <w:rFonts w:ascii="Times New Roman" w:hAnsi="Times New Roman"/>
                <w:b w:val="0"/>
                <w:sz w:val="24"/>
                <w:szCs w:val="24"/>
              </w:rPr>
            </w:pPr>
          </w:p>
        </w:tc>
        <w:tc>
          <w:tcPr>
            <w:tcW w:w="6032" w:type="dxa"/>
            <w:noWrap w:val="0"/>
            <w:vAlign w:val="top"/>
          </w:tcPr>
          <w:p>
            <w:pPr>
              <w:snapToGrid w:val="0"/>
              <w:spacing w:line="440" w:lineRule="exact"/>
              <w:rPr>
                <w:rFonts w:ascii="Times New Roman" w:hAnsi="Times New Roman"/>
                <w:b w:val="0"/>
                <w:sz w:val="21"/>
                <w:szCs w:val="21"/>
              </w:rPr>
            </w:pPr>
            <w:r>
              <w:rPr>
                <w:rFonts w:ascii="Times New Roman"/>
                <w:b w:val="0"/>
                <w:sz w:val="21"/>
                <w:szCs w:val="21"/>
              </w:rPr>
              <w:t>⑴</w:t>
            </w:r>
            <w:r>
              <w:rPr>
                <w:rFonts w:ascii="Times New Roman" w:hAnsi="Times New Roman"/>
                <w:b w:val="0"/>
                <w:sz w:val="21"/>
                <w:szCs w:val="21"/>
              </w:rPr>
              <w:t>在本机构设立宣传栏（5分）；</w:t>
            </w:r>
            <w:r>
              <w:rPr>
                <w:rFonts w:ascii="Times New Roman"/>
                <w:b w:val="0"/>
                <w:sz w:val="21"/>
                <w:szCs w:val="21"/>
              </w:rPr>
              <w:t>⑵</w:t>
            </w:r>
            <w:r>
              <w:rPr>
                <w:rFonts w:ascii="Times New Roman" w:hAnsi="Times New Roman"/>
                <w:b w:val="0"/>
                <w:sz w:val="21"/>
                <w:szCs w:val="21"/>
              </w:rPr>
              <w:t>举办各类文娱体育等活动（每项得1分，满分为5分）；</w:t>
            </w:r>
            <w:r>
              <w:rPr>
                <w:rFonts w:ascii="Times New Roman"/>
                <w:b w:val="0"/>
                <w:sz w:val="21"/>
                <w:szCs w:val="21"/>
              </w:rPr>
              <w:t>⑶</w:t>
            </w:r>
            <w:r>
              <w:rPr>
                <w:rFonts w:ascii="Times New Roman" w:hAnsi="Times New Roman"/>
                <w:b w:val="0"/>
                <w:sz w:val="21"/>
                <w:szCs w:val="21"/>
              </w:rPr>
              <w:t>组织各类公益活动（每项得1分，满分为5分）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520" w:type="dxa"/>
            <w:gridSpan w:val="2"/>
            <w:noWrap w:val="0"/>
            <w:vAlign w:val="center"/>
          </w:tcPr>
          <w:p>
            <w:pPr>
              <w:snapToGrid w:val="0"/>
              <w:spacing w:line="440" w:lineRule="exact"/>
              <w:jc w:val="center"/>
              <w:rPr>
                <w:rFonts w:ascii="Times New Roman" w:hAnsi="Times New Roman"/>
                <w:b w:val="0"/>
                <w:sz w:val="24"/>
                <w:szCs w:val="24"/>
              </w:rPr>
            </w:pPr>
            <w:r>
              <w:rPr>
                <w:rFonts w:ascii="Times New Roman" w:hAnsi="Times New Roman"/>
                <w:b w:val="0"/>
                <w:sz w:val="24"/>
                <w:szCs w:val="24"/>
              </w:rPr>
              <w:t>内部治理评价得分合计</w:t>
            </w:r>
          </w:p>
        </w:tc>
        <w:tc>
          <w:tcPr>
            <w:tcW w:w="724" w:type="dxa"/>
            <w:noWrap w:val="0"/>
            <w:vAlign w:val="top"/>
          </w:tcPr>
          <w:p>
            <w:pPr>
              <w:snapToGrid w:val="0"/>
              <w:spacing w:line="440" w:lineRule="exact"/>
              <w:rPr>
                <w:rFonts w:ascii="Times New Roman" w:hAnsi="Times New Roman"/>
                <w:b w:val="0"/>
                <w:sz w:val="24"/>
                <w:szCs w:val="24"/>
              </w:rPr>
            </w:pPr>
          </w:p>
        </w:tc>
        <w:tc>
          <w:tcPr>
            <w:tcW w:w="832" w:type="dxa"/>
            <w:noWrap w:val="0"/>
            <w:vAlign w:val="top"/>
          </w:tcPr>
          <w:p>
            <w:pPr>
              <w:snapToGrid w:val="0"/>
              <w:spacing w:line="440" w:lineRule="exact"/>
              <w:rPr>
                <w:rFonts w:ascii="Times New Roman" w:hAnsi="Times New Roman"/>
                <w:b w:val="0"/>
                <w:sz w:val="24"/>
                <w:szCs w:val="24"/>
              </w:rPr>
            </w:pPr>
          </w:p>
        </w:tc>
        <w:tc>
          <w:tcPr>
            <w:tcW w:w="6032" w:type="dxa"/>
            <w:noWrap w:val="0"/>
            <w:vAlign w:val="top"/>
          </w:tcPr>
          <w:p>
            <w:pPr>
              <w:snapToGrid w:val="0"/>
              <w:spacing w:line="440" w:lineRule="exact"/>
              <w:rPr>
                <w:rFonts w:ascii="Times New Roman" w:hAnsi="Times New Roman"/>
                <w:b w:val="0"/>
                <w:sz w:val="24"/>
                <w:szCs w:val="24"/>
              </w:rPr>
            </w:pPr>
          </w:p>
        </w:tc>
      </w:tr>
    </w:tbl>
    <w:p>
      <w:pPr>
        <w:snapToGrid w:val="0"/>
        <w:spacing w:line="440" w:lineRule="exact"/>
        <w:ind w:left="-134" w:leftChars="-64"/>
        <w:rPr>
          <w:sz w:val="28"/>
          <w:szCs w:val="28"/>
        </w:rPr>
      </w:pPr>
      <w:r>
        <w:rPr>
          <w:rFonts w:ascii="Times New Roman" w:hAnsi="Times New Roman"/>
          <w:b w:val="0"/>
          <w:sz w:val="24"/>
          <w:szCs w:val="24"/>
        </w:rPr>
        <w:t>注：以上所计分事项应提供相关证明材料复印件。</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13AC5"/>
    <w:multiLevelType w:val="multilevel"/>
    <w:tmpl w:val="16B13AC5"/>
    <w:lvl w:ilvl="0" w:tentative="0">
      <w:start w:val="1"/>
      <w:numFmt w:val="chineseCountingThousand"/>
      <w:lvlText w:val="第%1条"/>
      <w:lvlJc w:val="left"/>
      <w:pPr>
        <w:tabs>
          <w:tab w:val="left" w:pos="601"/>
        </w:tabs>
        <w:ind w:left="0" w:firstLine="567"/>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D776D3B"/>
    <w:multiLevelType w:val="multilevel"/>
    <w:tmpl w:val="2D776D3B"/>
    <w:lvl w:ilvl="0" w:tentative="0">
      <w:start w:val="1"/>
      <w:numFmt w:val="japaneseCounting"/>
      <w:lvlText w:val="（%1）"/>
      <w:lvlJc w:val="left"/>
      <w:pPr>
        <w:tabs>
          <w:tab w:val="left" w:pos="1680"/>
        </w:tabs>
        <w:ind w:left="16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32B3D"/>
    <w:rsid w:val="01293A43"/>
    <w:rsid w:val="0F232B3D"/>
    <w:rsid w:val="14D76FFF"/>
    <w:rsid w:val="5EEF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2020-10-09T06:45:00Z</dcterms:created>
  <dc:creator>老熏茶</dc:creator>
  <cp:lastModifiedBy>老熏茶</cp:lastModifiedBy>
  <dcterms:modified xsi:type="dcterms:W3CDTF">2021-07-16T03:57:48Z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FDACCFDF1C2A47B3ABAA8A1022725CA8</vt:lpwstr>
  </property>
</Properties>
</file>