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7B" w:rsidRPr="00F25CDF" w:rsidRDefault="00C9017B" w:rsidP="00C9017B">
      <w:pPr>
        <w:widowControl/>
        <w:shd w:val="clear" w:color="auto" w:fill="FFFFFF"/>
        <w:spacing w:line="400" w:lineRule="atLeast"/>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附件：</w:t>
      </w:r>
    </w:p>
    <w:p w:rsidR="00C9017B" w:rsidRDefault="00C9017B" w:rsidP="00C9017B">
      <w:pPr>
        <w:widowControl/>
        <w:shd w:val="clear" w:color="auto" w:fill="FFFFFF"/>
        <w:spacing w:line="400" w:lineRule="atLeast"/>
        <w:jc w:val="left"/>
        <w:rPr>
          <w:rFonts w:ascii="仿宋" w:eastAsia="仿宋" w:hAnsi="仿宋"/>
          <w:color w:val="1D1D1D"/>
          <w:kern w:val="0"/>
          <w:sz w:val="32"/>
          <w:szCs w:val="32"/>
        </w:rPr>
      </w:pPr>
      <w:r w:rsidRPr="00F25CDF">
        <w:rPr>
          <w:rFonts w:ascii="宋体" w:eastAsia="仿宋" w:hAnsi="宋体"/>
          <w:color w:val="1D1D1D"/>
          <w:kern w:val="0"/>
          <w:sz w:val="32"/>
          <w:szCs w:val="32"/>
        </w:rPr>
        <w:t> </w:t>
      </w:r>
    </w:p>
    <w:p w:rsidR="00C9017B" w:rsidRPr="00F25CDF" w:rsidRDefault="00C9017B" w:rsidP="00C9017B">
      <w:pPr>
        <w:widowControl/>
        <w:shd w:val="clear" w:color="auto" w:fill="FFFFFF"/>
        <w:spacing w:line="400" w:lineRule="atLeast"/>
        <w:jc w:val="center"/>
        <w:rPr>
          <w:rFonts w:ascii="仿宋" w:eastAsia="仿宋" w:hAnsi="仿宋"/>
          <w:b/>
          <w:bCs/>
          <w:color w:val="1D1D1D"/>
          <w:kern w:val="0"/>
          <w:sz w:val="36"/>
          <w:szCs w:val="36"/>
        </w:rPr>
      </w:pPr>
      <w:r w:rsidRPr="00F25CDF">
        <w:rPr>
          <w:rFonts w:ascii="仿宋" w:eastAsia="仿宋" w:hAnsi="仿宋" w:cs="仿宋" w:hint="eastAsia"/>
          <w:b/>
          <w:bCs/>
          <w:color w:val="1D1D1D"/>
          <w:kern w:val="0"/>
          <w:sz w:val="36"/>
          <w:szCs w:val="36"/>
        </w:rPr>
        <w:t>关于开展资产评估行业先进典型宣传工作</w:t>
      </w:r>
    </w:p>
    <w:p w:rsidR="00C9017B" w:rsidRPr="00F25CDF" w:rsidRDefault="00C9017B" w:rsidP="00C9017B">
      <w:pPr>
        <w:widowControl/>
        <w:shd w:val="clear" w:color="auto" w:fill="FFFFFF"/>
        <w:spacing w:line="400" w:lineRule="atLeast"/>
        <w:jc w:val="center"/>
        <w:rPr>
          <w:rFonts w:ascii="仿宋" w:eastAsia="仿宋" w:hAnsi="仿宋"/>
          <w:b/>
          <w:bCs/>
          <w:color w:val="1D1D1D"/>
          <w:kern w:val="0"/>
          <w:sz w:val="36"/>
          <w:szCs w:val="36"/>
        </w:rPr>
      </w:pPr>
      <w:bookmarkStart w:id="0" w:name="_GoBack"/>
      <w:bookmarkEnd w:id="0"/>
      <w:r w:rsidRPr="00F25CDF">
        <w:rPr>
          <w:rFonts w:ascii="仿宋" w:eastAsia="仿宋" w:hAnsi="仿宋" w:cs="仿宋" w:hint="eastAsia"/>
          <w:b/>
          <w:bCs/>
          <w:color w:val="1D1D1D"/>
          <w:kern w:val="0"/>
          <w:sz w:val="36"/>
          <w:szCs w:val="36"/>
        </w:rPr>
        <w:t>有关事项的通知</w:t>
      </w:r>
    </w:p>
    <w:p w:rsidR="00C9017B" w:rsidRPr="00F25CDF" w:rsidRDefault="00C9017B" w:rsidP="00C9017B">
      <w:pPr>
        <w:widowControl/>
        <w:shd w:val="clear" w:color="auto" w:fill="FFFFFF"/>
        <w:spacing w:line="400" w:lineRule="atLeast"/>
        <w:jc w:val="left"/>
        <w:rPr>
          <w:rFonts w:ascii="仿宋" w:eastAsia="仿宋" w:hAnsi="仿宋"/>
          <w:color w:val="1D1D1D"/>
          <w:kern w:val="0"/>
          <w:sz w:val="32"/>
          <w:szCs w:val="32"/>
        </w:rPr>
      </w:pPr>
      <w:r w:rsidRPr="00F25CDF">
        <w:rPr>
          <w:rFonts w:ascii="宋体" w:eastAsia="仿宋" w:hAnsi="宋体"/>
          <w:color w:val="1D1D1D"/>
          <w:kern w:val="0"/>
          <w:sz w:val="32"/>
          <w:szCs w:val="32"/>
        </w:rPr>
        <w:t> </w:t>
      </w:r>
    </w:p>
    <w:p w:rsidR="00C9017B" w:rsidRPr="00F25CDF" w:rsidRDefault="00C9017B" w:rsidP="00C9017B">
      <w:pPr>
        <w:widowControl/>
        <w:shd w:val="clear" w:color="auto" w:fill="FFFFFF"/>
        <w:spacing w:line="400" w:lineRule="atLeast"/>
        <w:jc w:val="center"/>
        <w:rPr>
          <w:rFonts w:ascii="仿宋" w:eastAsia="仿宋" w:hAnsi="仿宋"/>
          <w:color w:val="1D1D1D"/>
          <w:kern w:val="0"/>
          <w:sz w:val="32"/>
          <w:szCs w:val="32"/>
        </w:rPr>
      </w:pPr>
      <w:proofErr w:type="gramStart"/>
      <w:r w:rsidRPr="00F25CDF">
        <w:rPr>
          <w:rFonts w:ascii="仿宋" w:eastAsia="仿宋" w:hAnsi="仿宋" w:cs="仿宋" w:hint="eastAsia"/>
          <w:color w:val="1D1D1D"/>
          <w:kern w:val="0"/>
          <w:sz w:val="32"/>
          <w:szCs w:val="32"/>
        </w:rPr>
        <w:t>中评协</w:t>
      </w:r>
      <w:proofErr w:type="gramEnd"/>
      <w:r w:rsidRPr="00F25CDF">
        <w:rPr>
          <w:rFonts w:ascii="仿宋" w:eastAsia="仿宋" w:hAnsi="仿宋" w:cs="仿宋"/>
          <w:color w:val="1D1D1D"/>
          <w:kern w:val="0"/>
          <w:sz w:val="32"/>
          <w:szCs w:val="32"/>
        </w:rPr>
        <w:t>[2017]9</w:t>
      </w:r>
      <w:r w:rsidRPr="00F25CDF">
        <w:rPr>
          <w:rFonts w:ascii="仿宋" w:eastAsia="仿宋" w:hAnsi="仿宋" w:cs="仿宋" w:hint="eastAsia"/>
          <w:color w:val="1D1D1D"/>
          <w:kern w:val="0"/>
          <w:sz w:val="32"/>
          <w:szCs w:val="32"/>
        </w:rPr>
        <w:t>号</w:t>
      </w:r>
    </w:p>
    <w:p w:rsidR="00C9017B" w:rsidRPr="00F25CDF" w:rsidRDefault="00C9017B" w:rsidP="00C9017B">
      <w:pPr>
        <w:widowControl/>
        <w:shd w:val="clear" w:color="auto" w:fill="FFFFFF"/>
        <w:spacing w:line="400" w:lineRule="atLeast"/>
        <w:jc w:val="left"/>
        <w:rPr>
          <w:rFonts w:ascii="仿宋" w:eastAsia="仿宋" w:hAnsi="仿宋"/>
          <w:color w:val="1D1D1D"/>
          <w:kern w:val="0"/>
          <w:sz w:val="32"/>
          <w:szCs w:val="32"/>
        </w:rPr>
      </w:pPr>
      <w:r w:rsidRPr="00F25CDF">
        <w:rPr>
          <w:rFonts w:ascii="宋体" w:eastAsia="仿宋" w:hAnsi="宋体"/>
          <w:color w:val="1D1D1D"/>
          <w:kern w:val="0"/>
          <w:sz w:val="32"/>
          <w:szCs w:val="32"/>
        </w:rPr>
        <w:t> </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各省、自治区、直辖市、计划单列市资产评估协会</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注册会计师协会</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为了进一步扩大资产评估行业社会影响力，树立行业形象，提高资产评估行业社会公信力，根据工作需要，中国资产评估协会</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以下简称</w:t>
      </w:r>
      <w:proofErr w:type="gramStart"/>
      <w:r w:rsidRPr="00F25CDF">
        <w:rPr>
          <w:rFonts w:ascii="仿宋" w:eastAsia="仿宋" w:hAnsi="仿宋" w:cs="仿宋" w:hint="eastAsia"/>
          <w:color w:val="1D1D1D"/>
          <w:kern w:val="0"/>
          <w:sz w:val="32"/>
          <w:szCs w:val="32"/>
        </w:rPr>
        <w:t>中评协</w:t>
      </w:r>
      <w:proofErr w:type="gramEnd"/>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决定对自中国共产党第十八次全国代表大会</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以下简称十八大</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以来资产评估行业先进典型进行宣传。现将相关事项通知如下：</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一、宣传内容</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主要宣传资产评估行业先进典型</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包括：业内人士、岗位、评估机构和地方协会</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的先进事迹，以及评估机构和地方协会在推进</w:t>
      </w:r>
      <w:proofErr w:type="gramStart"/>
      <w:r w:rsidRPr="00F25CDF">
        <w:rPr>
          <w:rFonts w:ascii="仿宋" w:eastAsia="仿宋" w:hAnsi="仿宋" w:cs="仿宋" w:hint="eastAsia"/>
          <w:color w:val="1D1D1D"/>
          <w:kern w:val="0"/>
          <w:sz w:val="32"/>
          <w:szCs w:val="32"/>
        </w:rPr>
        <w:t>行业党建</w:t>
      </w:r>
      <w:proofErr w:type="gramEnd"/>
      <w:r w:rsidRPr="00F25CDF">
        <w:rPr>
          <w:rFonts w:ascii="仿宋" w:eastAsia="仿宋" w:hAnsi="仿宋" w:cs="仿宋" w:hint="eastAsia"/>
          <w:color w:val="1D1D1D"/>
          <w:kern w:val="0"/>
          <w:sz w:val="32"/>
          <w:szCs w:val="32"/>
        </w:rPr>
        <w:t>工作中好的做法和经验。</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二、宣传对象</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主要宣传对象原则上应为自十八大以来受到省部级以上表彰奖励的业内人士</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包括：五一劳动奖章、三八红旗手、劳动模范、先进个人等</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、岗位</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包括：全国巾帼文明岗、青</w:t>
      </w:r>
      <w:r w:rsidRPr="00F25CDF">
        <w:rPr>
          <w:rFonts w:ascii="仿宋" w:eastAsia="仿宋" w:hAnsi="仿宋" w:cs="仿宋" w:hint="eastAsia"/>
          <w:color w:val="1D1D1D"/>
          <w:kern w:val="0"/>
          <w:sz w:val="32"/>
          <w:szCs w:val="32"/>
        </w:rPr>
        <w:lastRenderedPageBreak/>
        <w:t>年文明号等</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、评估机构</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包括：文明单位等</w:t>
      </w:r>
      <w:r w:rsidRPr="00F25CDF">
        <w:rPr>
          <w:rFonts w:ascii="仿宋" w:eastAsia="仿宋" w:hAnsi="仿宋" w:cs="仿宋"/>
          <w:color w:val="1D1D1D"/>
          <w:kern w:val="0"/>
          <w:sz w:val="32"/>
          <w:szCs w:val="32"/>
        </w:rPr>
        <w:t>)</w:t>
      </w:r>
      <w:r w:rsidRPr="00F25CDF">
        <w:rPr>
          <w:rFonts w:ascii="仿宋" w:eastAsia="仿宋" w:hAnsi="仿宋" w:cs="仿宋" w:hint="eastAsia"/>
          <w:color w:val="1D1D1D"/>
          <w:kern w:val="0"/>
          <w:sz w:val="32"/>
          <w:szCs w:val="32"/>
        </w:rPr>
        <w:t>和地方协会，以及当选为省级以上党代会代表或省级以上人大代表、政协委员的业内人士。</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三、宣传方式</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对资产评估行业先进典型的宣传应当从行业发展大局出发，从局部入手，以小见大，见微知著。通过朴实的事迹、平实的语言，引起读者的共鸣，在读者心中形成对资产评估行业潜在的正面印象，为推进</w:t>
      </w:r>
      <w:proofErr w:type="gramStart"/>
      <w:r w:rsidRPr="00F25CDF">
        <w:rPr>
          <w:rFonts w:ascii="仿宋" w:eastAsia="仿宋" w:hAnsi="仿宋" w:cs="仿宋" w:hint="eastAsia"/>
          <w:color w:val="1D1D1D"/>
          <w:kern w:val="0"/>
          <w:sz w:val="32"/>
          <w:szCs w:val="32"/>
        </w:rPr>
        <w:t>行业党建</w:t>
      </w:r>
      <w:proofErr w:type="gramEnd"/>
      <w:r w:rsidRPr="00F25CDF">
        <w:rPr>
          <w:rFonts w:ascii="仿宋" w:eastAsia="仿宋" w:hAnsi="仿宋" w:cs="仿宋" w:hint="eastAsia"/>
          <w:color w:val="1D1D1D"/>
          <w:kern w:val="0"/>
          <w:sz w:val="32"/>
          <w:szCs w:val="32"/>
        </w:rPr>
        <w:t>营造良好的舆论氛围。</w:t>
      </w:r>
      <w:proofErr w:type="gramStart"/>
      <w:r w:rsidRPr="00F25CDF">
        <w:rPr>
          <w:rFonts w:ascii="仿宋" w:eastAsia="仿宋" w:hAnsi="仿宋" w:cs="仿宋" w:hint="eastAsia"/>
          <w:color w:val="1D1D1D"/>
          <w:kern w:val="0"/>
          <w:sz w:val="32"/>
          <w:szCs w:val="32"/>
        </w:rPr>
        <w:t>中评协</w:t>
      </w:r>
      <w:proofErr w:type="gramEnd"/>
      <w:r w:rsidRPr="00F25CDF">
        <w:rPr>
          <w:rFonts w:ascii="仿宋" w:eastAsia="仿宋" w:hAnsi="仿宋" w:cs="仿宋" w:hint="eastAsia"/>
          <w:color w:val="1D1D1D"/>
          <w:kern w:val="0"/>
          <w:sz w:val="32"/>
          <w:szCs w:val="32"/>
        </w:rPr>
        <w:t>将采取专访、报告文学等文体，采用传统媒体与新媒体相结合的方式，通过《中国会计报》、《中国资产评估》杂志、</w:t>
      </w:r>
      <w:proofErr w:type="gramStart"/>
      <w:r w:rsidRPr="00F25CDF">
        <w:rPr>
          <w:rFonts w:ascii="仿宋" w:eastAsia="仿宋" w:hAnsi="仿宋" w:cs="仿宋" w:hint="eastAsia"/>
          <w:color w:val="1D1D1D"/>
          <w:kern w:val="0"/>
          <w:sz w:val="32"/>
          <w:szCs w:val="32"/>
        </w:rPr>
        <w:t>中评协</w:t>
      </w:r>
      <w:proofErr w:type="gramEnd"/>
      <w:r w:rsidRPr="00F25CDF">
        <w:rPr>
          <w:rFonts w:ascii="仿宋" w:eastAsia="仿宋" w:hAnsi="仿宋" w:cs="仿宋" w:hint="eastAsia"/>
          <w:color w:val="1D1D1D"/>
          <w:kern w:val="0"/>
          <w:sz w:val="32"/>
          <w:szCs w:val="32"/>
        </w:rPr>
        <w:t>网站、</w:t>
      </w:r>
      <w:proofErr w:type="gramStart"/>
      <w:r w:rsidRPr="00F25CDF">
        <w:rPr>
          <w:rFonts w:ascii="仿宋" w:eastAsia="仿宋" w:hAnsi="仿宋" w:cs="仿宋" w:hint="eastAsia"/>
          <w:color w:val="1D1D1D"/>
          <w:kern w:val="0"/>
          <w:sz w:val="32"/>
          <w:szCs w:val="32"/>
        </w:rPr>
        <w:t>微信公众号</w:t>
      </w:r>
      <w:proofErr w:type="gramEnd"/>
      <w:r w:rsidRPr="00F25CDF">
        <w:rPr>
          <w:rFonts w:ascii="仿宋" w:eastAsia="仿宋" w:hAnsi="仿宋" w:cs="仿宋" w:hint="eastAsia"/>
          <w:color w:val="1D1D1D"/>
          <w:kern w:val="0"/>
          <w:sz w:val="32"/>
          <w:szCs w:val="32"/>
        </w:rPr>
        <w:t>等进行多渠道宣传。</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各地</w:t>
      </w:r>
      <w:proofErr w:type="gramStart"/>
      <w:r w:rsidRPr="00F25CDF">
        <w:rPr>
          <w:rFonts w:ascii="仿宋" w:eastAsia="仿宋" w:hAnsi="仿宋" w:cs="仿宋" w:hint="eastAsia"/>
          <w:color w:val="1D1D1D"/>
          <w:kern w:val="0"/>
          <w:sz w:val="32"/>
          <w:szCs w:val="32"/>
        </w:rPr>
        <w:t>方协会</w:t>
      </w:r>
      <w:proofErr w:type="gramEnd"/>
      <w:r w:rsidRPr="00F25CDF">
        <w:rPr>
          <w:rFonts w:ascii="仿宋" w:eastAsia="仿宋" w:hAnsi="仿宋" w:cs="仿宋" w:hint="eastAsia"/>
          <w:color w:val="1D1D1D"/>
          <w:kern w:val="0"/>
          <w:sz w:val="32"/>
          <w:szCs w:val="32"/>
        </w:rPr>
        <w:t>可在本协会网站或刊物上配合开展相关主题宣传活动。</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四、其他</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请各地</w:t>
      </w:r>
      <w:proofErr w:type="gramStart"/>
      <w:r w:rsidRPr="00F25CDF">
        <w:rPr>
          <w:rFonts w:ascii="仿宋" w:eastAsia="仿宋" w:hAnsi="仿宋" w:cs="仿宋" w:hint="eastAsia"/>
          <w:color w:val="1D1D1D"/>
          <w:kern w:val="0"/>
          <w:sz w:val="32"/>
          <w:szCs w:val="32"/>
        </w:rPr>
        <w:t>方协会</w:t>
      </w:r>
      <w:proofErr w:type="gramEnd"/>
      <w:r w:rsidRPr="00F25CDF">
        <w:rPr>
          <w:rFonts w:ascii="仿宋" w:eastAsia="仿宋" w:hAnsi="仿宋" w:cs="仿宋" w:hint="eastAsia"/>
          <w:color w:val="1D1D1D"/>
          <w:kern w:val="0"/>
          <w:sz w:val="32"/>
          <w:szCs w:val="32"/>
        </w:rPr>
        <w:t>充分认识到资产评估行业先进典型宣传工作的重要性、必要性和紧迫性，准确把握工作的总体要求，精心组织，周密部署，对本辖区内的宣传对象进行摸底统计，尽快填报《关于开展资产评估行业先进典型宣传工作统计表》（附件），加盖各地</w:t>
      </w:r>
      <w:proofErr w:type="gramStart"/>
      <w:r w:rsidRPr="00F25CDF">
        <w:rPr>
          <w:rFonts w:ascii="仿宋" w:eastAsia="仿宋" w:hAnsi="仿宋" w:cs="仿宋" w:hint="eastAsia"/>
          <w:color w:val="1D1D1D"/>
          <w:kern w:val="0"/>
          <w:sz w:val="32"/>
          <w:szCs w:val="32"/>
        </w:rPr>
        <w:t>方协会</w:t>
      </w:r>
      <w:proofErr w:type="gramEnd"/>
      <w:r w:rsidRPr="00F25CDF">
        <w:rPr>
          <w:rFonts w:ascii="仿宋" w:eastAsia="仿宋" w:hAnsi="仿宋" w:cs="仿宋" w:hint="eastAsia"/>
          <w:color w:val="1D1D1D"/>
          <w:kern w:val="0"/>
          <w:sz w:val="32"/>
          <w:szCs w:val="32"/>
        </w:rPr>
        <w:t>公章后进行扫描，务必于</w:t>
      </w:r>
      <w:r w:rsidRPr="00F25CDF">
        <w:rPr>
          <w:rFonts w:ascii="仿宋" w:eastAsia="仿宋" w:hAnsi="仿宋" w:cs="仿宋"/>
          <w:color w:val="1D1D1D"/>
          <w:kern w:val="0"/>
          <w:sz w:val="32"/>
          <w:szCs w:val="32"/>
        </w:rPr>
        <w:t>2017</w:t>
      </w:r>
      <w:r w:rsidRPr="00F25CDF">
        <w:rPr>
          <w:rFonts w:ascii="仿宋" w:eastAsia="仿宋" w:hAnsi="仿宋" w:cs="仿宋" w:hint="eastAsia"/>
          <w:color w:val="1D1D1D"/>
          <w:kern w:val="0"/>
          <w:sz w:val="32"/>
          <w:szCs w:val="32"/>
        </w:rPr>
        <w:t>年</w:t>
      </w:r>
      <w:r w:rsidRPr="00F25CDF">
        <w:rPr>
          <w:rFonts w:ascii="仿宋" w:eastAsia="仿宋" w:hAnsi="仿宋" w:cs="仿宋"/>
          <w:color w:val="1D1D1D"/>
          <w:kern w:val="0"/>
          <w:sz w:val="32"/>
          <w:szCs w:val="32"/>
        </w:rPr>
        <w:t>3</w:t>
      </w:r>
      <w:r w:rsidRPr="00F25CDF">
        <w:rPr>
          <w:rFonts w:ascii="仿宋" w:eastAsia="仿宋" w:hAnsi="仿宋" w:cs="仿宋" w:hint="eastAsia"/>
          <w:color w:val="1D1D1D"/>
          <w:kern w:val="0"/>
          <w:sz w:val="32"/>
          <w:szCs w:val="32"/>
        </w:rPr>
        <w:t>月</w:t>
      </w:r>
      <w:r w:rsidRPr="00F25CDF">
        <w:rPr>
          <w:rFonts w:ascii="仿宋" w:eastAsia="仿宋" w:hAnsi="仿宋" w:cs="仿宋"/>
          <w:color w:val="1D1D1D"/>
          <w:kern w:val="0"/>
          <w:sz w:val="32"/>
          <w:szCs w:val="32"/>
        </w:rPr>
        <w:t>31</w:t>
      </w:r>
      <w:r w:rsidRPr="00F25CDF">
        <w:rPr>
          <w:rFonts w:ascii="仿宋" w:eastAsia="仿宋" w:hAnsi="仿宋" w:cs="仿宋" w:hint="eastAsia"/>
          <w:color w:val="1D1D1D"/>
          <w:kern w:val="0"/>
          <w:sz w:val="32"/>
          <w:szCs w:val="32"/>
        </w:rPr>
        <w:t>日之前将统计表扫描版及电子版一并发送至</w:t>
      </w:r>
      <w:proofErr w:type="gramStart"/>
      <w:r w:rsidRPr="00F25CDF">
        <w:rPr>
          <w:rFonts w:ascii="仿宋" w:eastAsia="仿宋" w:hAnsi="仿宋" w:cs="仿宋" w:hint="eastAsia"/>
          <w:color w:val="1D1D1D"/>
          <w:kern w:val="0"/>
          <w:sz w:val="32"/>
          <w:szCs w:val="32"/>
        </w:rPr>
        <w:t>中评协</w:t>
      </w:r>
      <w:proofErr w:type="gramEnd"/>
      <w:r w:rsidRPr="00F25CDF">
        <w:rPr>
          <w:rFonts w:ascii="仿宋" w:eastAsia="仿宋" w:hAnsi="仿宋" w:cs="仿宋" w:hint="eastAsia"/>
          <w:color w:val="1D1D1D"/>
          <w:kern w:val="0"/>
          <w:sz w:val="32"/>
          <w:szCs w:val="32"/>
        </w:rPr>
        <w:t>指定邮箱。</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联系人：刘崴</w:t>
      </w:r>
    </w:p>
    <w:p w:rsidR="00C9017B" w:rsidRPr="00F25CDF" w:rsidRDefault="00C9017B" w:rsidP="00C9017B">
      <w:pPr>
        <w:widowControl/>
        <w:shd w:val="clear" w:color="auto" w:fill="FFFFFF"/>
        <w:spacing w:line="620" w:lineRule="exact"/>
        <w:ind w:firstLineChars="200" w:firstLine="640"/>
        <w:jc w:val="left"/>
        <w:rPr>
          <w:rFonts w:ascii="仿宋" w:eastAsia="仿宋" w:hAnsi="仿宋" w:cs="仿宋"/>
          <w:color w:val="1D1D1D"/>
          <w:kern w:val="0"/>
          <w:sz w:val="32"/>
          <w:szCs w:val="32"/>
        </w:rPr>
      </w:pPr>
      <w:r w:rsidRPr="00F25CDF">
        <w:rPr>
          <w:rFonts w:ascii="仿宋" w:eastAsia="仿宋" w:hAnsi="仿宋" w:cs="仿宋" w:hint="eastAsia"/>
          <w:color w:val="1D1D1D"/>
          <w:kern w:val="0"/>
          <w:sz w:val="32"/>
          <w:szCs w:val="32"/>
        </w:rPr>
        <w:lastRenderedPageBreak/>
        <w:t>联系电话：</w:t>
      </w:r>
      <w:r w:rsidRPr="00F25CDF">
        <w:rPr>
          <w:rFonts w:ascii="仿宋" w:eastAsia="仿宋" w:hAnsi="仿宋" w:cs="仿宋"/>
          <w:color w:val="1D1D1D"/>
          <w:kern w:val="0"/>
          <w:sz w:val="32"/>
          <w:szCs w:val="32"/>
        </w:rPr>
        <w:t>010-88339649</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电子信箱：</w:t>
      </w:r>
      <w:r w:rsidRPr="00F25CDF">
        <w:rPr>
          <w:rFonts w:ascii="仿宋" w:eastAsia="仿宋" w:hAnsi="仿宋" w:cs="仿宋"/>
          <w:color w:val="1D1D1D"/>
          <w:kern w:val="0"/>
          <w:sz w:val="32"/>
          <w:szCs w:val="32"/>
        </w:rPr>
        <w:t>edit@cas.org.cn</w:t>
      </w:r>
      <w:r w:rsidRPr="00F25CDF">
        <w:rPr>
          <w:rFonts w:ascii="仿宋" w:eastAsia="仿宋" w:hAnsi="仿宋" w:cs="仿宋" w:hint="eastAsia"/>
          <w:color w:val="1D1D1D"/>
          <w:kern w:val="0"/>
          <w:sz w:val="32"/>
          <w:szCs w:val="32"/>
        </w:rPr>
        <w:t>。</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_GB2312" w:eastAsia="仿宋" w:hAnsi="仿宋_GB2312"/>
          <w:color w:val="1D1D1D"/>
          <w:kern w:val="0"/>
          <w:sz w:val="32"/>
          <w:szCs w:val="32"/>
        </w:rPr>
        <w:t> </w:t>
      </w:r>
    </w:p>
    <w:p w:rsidR="00C9017B" w:rsidRPr="00F25CDF" w:rsidRDefault="00C9017B" w:rsidP="00C9017B">
      <w:pPr>
        <w:widowControl/>
        <w:shd w:val="clear" w:color="auto" w:fill="FFFFFF"/>
        <w:spacing w:line="620" w:lineRule="exact"/>
        <w:ind w:firstLineChars="200" w:firstLine="640"/>
        <w:jc w:val="lef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附件：《关于开展资产评估行业先进典型宣传工作统计表》</w:t>
      </w:r>
    </w:p>
    <w:p w:rsidR="00C9017B" w:rsidRPr="00F25CDF" w:rsidRDefault="00C9017B" w:rsidP="00C9017B">
      <w:pPr>
        <w:widowControl/>
        <w:shd w:val="clear" w:color="auto" w:fill="FFFFFF"/>
        <w:spacing w:line="400" w:lineRule="atLeast"/>
        <w:ind w:firstLine="555"/>
        <w:jc w:val="left"/>
        <w:rPr>
          <w:rFonts w:ascii="仿宋" w:eastAsia="仿宋" w:hAnsi="仿宋"/>
          <w:color w:val="1D1D1D"/>
          <w:kern w:val="0"/>
          <w:sz w:val="32"/>
          <w:szCs w:val="32"/>
        </w:rPr>
      </w:pPr>
      <w:r w:rsidRPr="00F25CDF">
        <w:rPr>
          <w:rFonts w:ascii="仿宋_GB2312" w:eastAsia="仿宋" w:hAnsi="仿宋_GB2312"/>
          <w:color w:val="1D1D1D"/>
          <w:kern w:val="0"/>
          <w:sz w:val="32"/>
          <w:szCs w:val="32"/>
        </w:rPr>
        <w:t> </w:t>
      </w:r>
    </w:p>
    <w:p w:rsidR="00C9017B" w:rsidRPr="00F25CDF" w:rsidRDefault="00C9017B" w:rsidP="00C9017B">
      <w:pPr>
        <w:widowControl/>
        <w:shd w:val="clear" w:color="auto" w:fill="FFFFFF"/>
        <w:spacing w:line="400" w:lineRule="atLeast"/>
        <w:ind w:firstLine="555"/>
        <w:jc w:val="righ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中国资产评估协会</w:t>
      </w:r>
    </w:p>
    <w:p w:rsidR="00C9017B" w:rsidRPr="00F25CDF" w:rsidRDefault="00C9017B" w:rsidP="00C9017B">
      <w:pPr>
        <w:widowControl/>
        <w:shd w:val="clear" w:color="auto" w:fill="FFFFFF"/>
        <w:spacing w:line="400" w:lineRule="atLeast"/>
        <w:ind w:firstLine="555"/>
        <w:jc w:val="right"/>
        <w:rPr>
          <w:rFonts w:ascii="仿宋" w:eastAsia="仿宋" w:hAnsi="仿宋"/>
          <w:color w:val="1D1D1D"/>
          <w:kern w:val="0"/>
          <w:sz w:val="32"/>
          <w:szCs w:val="32"/>
        </w:rPr>
      </w:pPr>
      <w:r w:rsidRPr="00F25CDF">
        <w:rPr>
          <w:rFonts w:ascii="仿宋" w:eastAsia="仿宋" w:hAnsi="仿宋" w:cs="仿宋" w:hint="eastAsia"/>
          <w:color w:val="1D1D1D"/>
          <w:kern w:val="0"/>
          <w:sz w:val="32"/>
          <w:szCs w:val="32"/>
        </w:rPr>
        <w:t>二○一七年三月一日</w:t>
      </w:r>
    </w:p>
    <w:p w:rsidR="00C9017B" w:rsidRDefault="00C9017B" w:rsidP="00C9017B">
      <w:pPr>
        <w:rPr>
          <w:rFonts w:ascii="仿宋" w:eastAsia="仿宋" w:hAnsi="仿宋"/>
          <w:sz w:val="32"/>
          <w:szCs w:val="32"/>
        </w:rPr>
        <w:sectPr w:rsidR="00C9017B" w:rsidSect="00651C31">
          <w:footerReference w:type="default" r:id="rId6"/>
          <w:pgSz w:w="11906" w:h="16838"/>
          <w:pgMar w:top="1440" w:right="1800" w:bottom="1440" w:left="1800" w:header="851" w:footer="730" w:gutter="0"/>
          <w:pgNumType w:start="1"/>
          <w:cols w:space="425"/>
          <w:docGrid w:type="lines" w:linePitch="312"/>
        </w:sectPr>
      </w:pPr>
    </w:p>
    <w:p w:rsidR="00C9017B" w:rsidRDefault="00C9017B" w:rsidP="00C9017B">
      <w:pPr>
        <w:rPr>
          <w:rFonts w:ascii="宋体" w:cs="宋体"/>
          <w:spacing w:val="8"/>
          <w:kern w:val="0"/>
          <w:sz w:val="24"/>
          <w:szCs w:val="24"/>
        </w:rPr>
      </w:pPr>
      <w:r>
        <w:rPr>
          <w:rFonts w:ascii="宋体" w:hAnsi="宋体" w:cs="宋体" w:hint="eastAsia"/>
          <w:spacing w:val="8"/>
          <w:kern w:val="0"/>
          <w:sz w:val="24"/>
          <w:szCs w:val="24"/>
        </w:rPr>
        <w:lastRenderedPageBreak/>
        <w:t>附件</w:t>
      </w:r>
    </w:p>
    <w:p w:rsidR="00C9017B" w:rsidRDefault="00C9017B" w:rsidP="00C9017B">
      <w:pPr>
        <w:ind w:firstLine="643"/>
        <w:jc w:val="center"/>
        <w:rPr>
          <w:rFonts w:ascii="宋体" w:cs="宋体"/>
          <w:b/>
          <w:bCs/>
          <w:sz w:val="32"/>
          <w:szCs w:val="32"/>
        </w:rPr>
      </w:pPr>
    </w:p>
    <w:p w:rsidR="00C9017B" w:rsidRDefault="00C9017B" w:rsidP="00C9017B">
      <w:pPr>
        <w:ind w:firstLine="643"/>
        <w:jc w:val="center"/>
        <w:rPr>
          <w:rFonts w:ascii="宋体" w:cs="宋体"/>
          <w:b/>
          <w:bCs/>
          <w:spacing w:val="8"/>
          <w:kern w:val="0"/>
          <w:sz w:val="32"/>
          <w:szCs w:val="32"/>
        </w:rPr>
      </w:pPr>
      <w:r>
        <w:rPr>
          <w:rFonts w:ascii="宋体" w:hAnsi="宋体" w:cs="宋体" w:hint="eastAsia"/>
          <w:b/>
          <w:bCs/>
          <w:sz w:val="32"/>
          <w:szCs w:val="32"/>
        </w:rPr>
        <w:t>关于开展资产评估行业先进典型宣传工作统计表</w:t>
      </w:r>
    </w:p>
    <w:p w:rsidR="00C9017B" w:rsidRDefault="00C9017B" w:rsidP="00C9017B">
      <w:pPr>
        <w:rPr>
          <w:rFonts w:ascii="宋体" w:cs="宋体"/>
          <w:spacing w:val="8"/>
          <w:kern w:val="0"/>
          <w:sz w:val="24"/>
          <w:szCs w:val="24"/>
        </w:rPr>
      </w:pPr>
    </w:p>
    <w:p w:rsidR="00C9017B" w:rsidRPr="00CD4FE5" w:rsidRDefault="00C9017B" w:rsidP="00C9017B">
      <w:pPr>
        <w:rPr>
          <w:rFonts w:ascii="宋体" w:cs="宋体"/>
          <w:spacing w:val="8"/>
          <w:kern w:val="0"/>
          <w:sz w:val="24"/>
          <w:szCs w:val="24"/>
        </w:rPr>
      </w:pPr>
      <w:r>
        <w:rPr>
          <w:rFonts w:ascii="宋体" w:hAnsi="宋体" w:cs="宋体" w:hint="eastAsia"/>
          <w:spacing w:val="8"/>
          <w:kern w:val="0"/>
          <w:sz w:val="24"/>
          <w:szCs w:val="24"/>
        </w:rPr>
        <w:t>填报单位：</w:t>
      </w:r>
    </w:p>
    <w:tbl>
      <w:tblPr>
        <w:tblW w:w="5632" w:type="pct"/>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753"/>
        <w:gridCol w:w="1206"/>
        <w:gridCol w:w="1472"/>
        <w:gridCol w:w="1453"/>
        <w:gridCol w:w="1338"/>
        <w:gridCol w:w="1302"/>
        <w:gridCol w:w="1369"/>
      </w:tblGrid>
      <w:tr w:rsidR="00C9017B" w:rsidTr="00C71DA4">
        <w:trPr>
          <w:trHeight w:hRule="exact" w:val="1014"/>
        </w:trPr>
        <w:tc>
          <w:tcPr>
            <w:tcW w:w="368" w:type="pct"/>
            <w:vMerge w:val="restart"/>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编号</w:t>
            </w:r>
          </w:p>
        </w:tc>
        <w:tc>
          <w:tcPr>
            <w:tcW w:w="392" w:type="pct"/>
            <w:vMerge w:val="restart"/>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姓名</w:t>
            </w:r>
          </w:p>
        </w:tc>
        <w:tc>
          <w:tcPr>
            <w:tcW w:w="628" w:type="pct"/>
            <w:vMerge w:val="restart"/>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单位</w:t>
            </w:r>
          </w:p>
        </w:tc>
        <w:tc>
          <w:tcPr>
            <w:tcW w:w="1524" w:type="pct"/>
            <w:gridSpan w:val="2"/>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受省部级以上表彰奖励情况</w:t>
            </w:r>
          </w:p>
        </w:tc>
        <w:tc>
          <w:tcPr>
            <w:tcW w:w="2089" w:type="pct"/>
            <w:gridSpan w:val="3"/>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当选为省级以上党代会代表或省级以上人大代表、政协委员情况</w:t>
            </w:r>
          </w:p>
        </w:tc>
      </w:tr>
      <w:tr w:rsidR="00C9017B" w:rsidTr="00C71DA4">
        <w:trPr>
          <w:trHeight w:hRule="exact" w:val="808"/>
        </w:trPr>
        <w:tc>
          <w:tcPr>
            <w:tcW w:w="0" w:type="auto"/>
            <w:vMerge/>
            <w:vAlign w:val="center"/>
          </w:tcPr>
          <w:p w:rsidR="00C9017B" w:rsidRDefault="00C9017B" w:rsidP="00C71DA4">
            <w:pPr>
              <w:widowControl/>
              <w:jc w:val="left"/>
              <w:rPr>
                <w:rFonts w:ascii="仿宋" w:eastAsia="仿宋" w:hAnsi="仿宋"/>
                <w:spacing w:val="8"/>
                <w:kern w:val="0"/>
                <w:sz w:val="24"/>
                <w:szCs w:val="24"/>
              </w:rPr>
            </w:pPr>
          </w:p>
        </w:tc>
        <w:tc>
          <w:tcPr>
            <w:tcW w:w="0" w:type="auto"/>
            <w:vMerge/>
            <w:vAlign w:val="center"/>
          </w:tcPr>
          <w:p w:rsidR="00C9017B" w:rsidRDefault="00C9017B" w:rsidP="00C71DA4">
            <w:pPr>
              <w:widowControl/>
              <w:jc w:val="left"/>
              <w:rPr>
                <w:rFonts w:ascii="仿宋" w:eastAsia="仿宋" w:hAnsi="仿宋"/>
                <w:spacing w:val="8"/>
                <w:kern w:val="0"/>
                <w:sz w:val="24"/>
                <w:szCs w:val="24"/>
              </w:rPr>
            </w:pPr>
          </w:p>
        </w:tc>
        <w:tc>
          <w:tcPr>
            <w:tcW w:w="0" w:type="auto"/>
            <w:vMerge/>
            <w:vAlign w:val="center"/>
          </w:tcPr>
          <w:p w:rsidR="00C9017B" w:rsidRDefault="00C9017B" w:rsidP="00C71DA4">
            <w:pPr>
              <w:widowControl/>
              <w:jc w:val="left"/>
              <w:rPr>
                <w:rFonts w:ascii="仿宋" w:eastAsia="仿宋" w:hAnsi="仿宋"/>
                <w:spacing w:val="8"/>
                <w:kern w:val="0"/>
                <w:sz w:val="24"/>
                <w:szCs w:val="24"/>
              </w:rPr>
            </w:pPr>
          </w:p>
        </w:tc>
        <w:tc>
          <w:tcPr>
            <w:tcW w:w="767" w:type="pct"/>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表彰奖励类别</w:t>
            </w:r>
          </w:p>
        </w:tc>
        <w:tc>
          <w:tcPr>
            <w:tcW w:w="757" w:type="pct"/>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授予单位</w:t>
            </w:r>
          </w:p>
        </w:tc>
        <w:tc>
          <w:tcPr>
            <w:tcW w:w="697" w:type="pct"/>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党代会代表</w:t>
            </w:r>
          </w:p>
        </w:tc>
        <w:tc>
          <w:tcPr>
            <w:tcW w:w="678" w:type="pct"/>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人大代表</w:t>
            </w:r>
          </w:p>
        </w:tc>
        <w:tc>
          <w:tcPr>
            <w:tcW w:w="713" w:type="pct"/>
            <w:vAlign w:val="center"/>
          </w:tcPr>
          <w:p w:rsidR="00C9017B" w:rsidRDefault="00C9017B" w:rsidP="00C71DA4">
            <w:pPr>
              <w:spacing w:line="400" w:lineRule="exact"/>
              <w:jc w:val="center"/>
              <w:rPr>
                <w:rFonts w:ascii="仿宋" w:eastAsia="仿宋" w:hAnsi="仿宋"/>
                <w:spacing w:val="8"/>
                <w:kern w:val="0"/>
                <w:sz w:val="24"/>
                <w:szCs w:val="24"/>
              </w:rPr>
            </w:pPr>
            <w:r>
              <w:rPr>
                <w:rFonts w:cs="宋体" w:hint="eastAsia"/>
                <w:spacing w:val="8"/>
                <w:kern w:val="0"/>
                <w:sz w:val="24"/>
                <w:szCs w:val="24"/>
              </w:rPr>
              <w:t>政协委员</w:t>
            </w:r>
          </w:p>
        </w:tc>
      </w:tr>
      <w:tr w:rsidR="00C9017B" w:rsidTr="00C71DA4">
        <w:trPr>
          <w:trHeight w:hRule="exact" w:val="567"/>
        </w:trPr>
        <w:tc>
          <w:tcPr>
            <w:tcW w:w="368" w:type="pct"/>
            <w:vAlign w:val="center"/>
          </w:tcPr>
          <w:p w:rsidR="00C9017B" w:rsidRDefault="00C9017B" w:rsidP="00C71DA4">
            <w:pPr>
              <w:spacing w:line="400" w:lineRule="exact"/>
              <w:jc w:val="center"/>
              <w:rPr>
                <w:rFonts w:ascii="仿宋" w:eastAsia="仿宋" w:hAnsi="仿宋"/>
                <w:spacing w:val="8"/>
                <w:kern w:val="0"/>
                <w:sz w:val="24"/>
                <w:szCs w:val="24"/>
              </w:rPr>
            </w:pPr>
            <w:r>
              <w:rPr>
                <w:spacing w:val="8"/>
                <w:kern w:val="0"/>
                <w:sz w:val="24"/>
                <w:szCs w:val="24"/>
              </w:rPr>
              <w:t>1</w:t>
            </w:r>
          </w:p>
        </w:tc>
        <w:tc>
          <w:tcPr>
            <w:tcW w:w="392"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628"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767"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757"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697"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678"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713"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r>
      <w:tr w:rsidR="00C9017B" w:rsidTr="00C71DA4">
        <w:trPr>
          <w:trHeight w:hRule="exact" w:val="567"/>
        </w:trPr>
        <w:tc>
          <w:tcPr>
            <w:tcW w:w="368" w:type="pct"/>
            <w:vAlign w:val="center"/>
          </w:tcPr>
          <w:p w:rsidR="00C9017B" w:rsidRDefault="00C9017B" w:rsidP="00C71DA4">
            <w:pPr>
              <w:spacing w:line="400" w:lineRule="exact"/>
              <w:jc w:val="center"/>
              <w:rPr>
                <w:rFonts w:ascii="仿宋" w:eastAsia="仿宋" w:hAnsi="仿宋"/>
                <w:spacing w:val="8"/>
                <w:kern w:val="0"/>
                <w:sz w:val="24"/>
                <w:szCs w:val="24"/>
              </w:rPr>
            </w:pPr>
            <w:r>
              <w:rPr>
                <w:spacing w:val="8"/>
                <w:kern w:val="0"/>
                <w:sz w:val="24"/>
                <w:szCs w:val="24"/>
              </w:rPr>
              <w:t>2</w:t>
            </w:r>
          </w:p>
        </w:tc>
        <w:tc>
          <w:tcPr>
            <w:tcW w:w="392"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628"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767"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757"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697"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678"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c>
          <w:tcPr>
            <w:tcW w:w="713" w:type="pct"/>
            <w:vAlign w:val="center"/>
          </w:tcPr>
          <w:p w:rsidR="00C9017B" w:rsidRDefault="00C9017B" w:rsidP="00C71DA4">
            <w:pPr>
              <w:spacing w:line="400" w:lineRule="exact"/>
              <w:ind w:firstLineChars="200" w:firstLine="512"/>
              <w:jc w:val="center"/>
              <w:rPr>
                <w:rFonts w:ascii="仿宋" w:eastAsia="仿宋" w:hAnsi="仿宋"/>
                <w:spacing w:val="8"/>
                <w:kern w:val="0"/>
                <w:sz w:val="24"/>
                <w:szCs w:val="24"/>
              </w:rPr>
            </w:pPr>
          </w:p>
        </w:tc>
      </w:tr>
    </w:tbl>
    <w:p w:rsidR="00C9017B" w:rsidRDefault="00C9017B" w:rsidP="00C9017B">
      <w:pPr>
        <w:spacing w:line="500" w:lineRule="exact"/>
        <w:ind w:firstLine="480"/>
        <w:rPr>
          <w:rFonts w:ascii="仿宋" w:eastAsia="仿宋" w:hAnsi="仿宋"/>
          <w:sz w:val="24"/>
          <w:szCs w:val="24"/>
        </w:rPr>
      </w:pPr>
      <w:r>
        <w:rPr>
          <w:rFonts w:cs="宋体" w:hint="eastAsia"/>
          <w:sz w:val="24"/>
          <w:szCs w:val="24"/>
        </w:rPr>
        <w:t>制表人：</w:t>
      </w:r>
      <w:r>
        <w:rPr>
          <w:sz w:val="24"/>
          <w:szCs w:val="24"/>
        </w:rPr>
        <w:t xml:space="preserve">                                 </w:t>
      </w:r>
      <w:r>
        <w:rPr>
          <w:rFonts w:cs="宋体" w:hint="eastAsia"/>
          <w:sz w:val="24"/>
          <w:szCs w:val="24"/>
        </w:rPr>
        <w:t>联系电话：</w:t>
      </w:r>
      <w:r>
        <w:rPr>
          <w:sz w:val="24"/>
          <w:szCs w:val="24"/>
        </w:rPr>
        <w:t xml:space="preserve"> </w:t>
      </w:r>
    </w:p>
    <w:p w:rsidR="00C9017B" w:rsidRDefault="00C9017B" w:rsidP="00C9017B">
      <w:pPr>
        <w:spacing w:line="500" w:lineRule="exact"/>
        <w:ind w:firstLine="480"/>
        <w:rPr>
          <w:sz w:val="24"/>
          <w:szCs w:val="24"/>
        </w:rPr>
      </w:pPr>
    </w:p>
    <w:p w:rsidR="00C9017B" w:rsidRDefault="00C9017B" w:rsidP="00C9017B">
      <w:pPr>
        <w:spacing w:line="500" w:lineRule="exact"/>
        <w:ind w:firstLine="480"/>
        <w:rPr>
          <w:sz w:val="24"/>
          <w:szCs w:val="24"/>
        </w:rPr>
      </w:pPr>
      <w:r>
        <w:rPr>
          <w:rFonts w:cs="宋体" w:hint="eastAsia"/>
          <w:sz w:val="24"/>
          <w:szCs w:val="24"/>
        </w:rPr>
        <w:t>填表说明：</w:t>
      </w:r>
    </w:p>
    <w:p w:rsidR="00C9017B" w:rsidRDefault="00C9017B" w:rsidP="00C9017B">
      <w:pPr>
        <w:spacing w:line="500" w:lineRule="exact"/>
        <w:ind w:firstLine="480"/>
        <w:rPr>
          <w:sz w:val="24"/>
          <w:szCs w:val="24"/>
        </w:rPr>
      </w:pPr>
      <w:r>
        <w:rPr>
          <w:sz w:val="24"/>
          <w:szCs w:val="24"/>
        </w:rPr>
        <w:t>1.</w:t>
      </w:r>
      <w:r>
        <w:rPr>
          <w:rFonts w:cs="宋体" w:hint="eastAsia"/>
          <w:sz w:val="24"/>
          <w:szCs w:val="24"/>
        </w:rPr>
        <w:t>姓名、单位栏目应填写先进典型</w:t>
      </w:r>
      <w:r>
        <w:rPr>
          <w:sz w:val="24"/>
          <w:szCs w:val="24"/>
        </w:rPr>
        <w:t>(</w:t>
      </w:r>
      <w:r>
        <w:rPr>
          <w:rFonts w:cs="宋体" w:hint="eastAsia"/>
          <w:sz w:val="24"/>
          <w:szCs w:val="24"/>
        </w:rPr>
        <w:t>包括：业内人士、岗位、评估机构和地方协会</w:t>
      </w:r>
      <w:r>
        <w:rPr>
          <w:sz w:val="24"/>
          <w:szCs w:val="24"/>
        </w:rPr>
        <w:t>)</w:t>
      </w:r>
      <w:r>
        <w:rPr>
          <w:rFonts w:cs="宋体" w:hint="eastAsia"/>
          <w:sz w:val="24"/>
          <w:szCs w:val="24"/>
        </w:rPr>
        <w:t>；</w:t>
      </w:r>
    </w:p>
    <w:p w:rsidR="00C9017B" w:rsidRDefault="00C9017B" w:rsidP="00C9017B">
      <w:pPr>
        <w:spacing w:line="500" w:lineRule="exact"/>
        <w:ind w:firstLine="480"/>
        <w:rPr>
          <w:sz w:val="24"/>
          <w:szCs w:val="24"/>
        </w:rPr>
      </w:pPr>
      <w:r>
        <w:rPr>
          <w:sz w:val="24"/>
          <w:szCs w:val="24"/>
        </w:rPr>
        <w:t>2.</w:t>
      </w:r>
      <w:r>
        <w:rPr>
          <w:rFonts w:cs="宋体" w:hint="eastAsia"/>
          <w:sz w:val="24"/>
          <w:szCs w:val="24"/>
        </w:rPr>
        <w:t>表彰奖励类别栏目应填写受表彰奖励情况</w:t>
      </w:r>
      <w:r>
        <w:rPr>
          <w:sz w:val="24"/>
          <w:szCs w:val="24"/>
        </w:rPr>
        <w:t>(</w:t>
      </w:r>
      <w:r>
        <w:rPr>
          <w:rFonts w:cs="宋体" w:hint="eastAsia"/>
          <w:sz w:val="24"/>
          <w:szCs w:val="24"/>
        </w:rPr>
        <w:t>包括：五一劳动奖章、三八红旗手、劳动模范、先进个人、全国巾帼文明岗、青年文明号、文明单位等</w:t>
      </w:r>
      <w:r>
        <w:rPr>
          <w:sz w:val="24"/>
          <w:szCs w:val="24"/>
        </w:rPr>
        <w:t>)</w:t>
      </w:r>
      <w:r>
        <w:rPr>
          <w:rFonts w:cs="宋体" w:hint="eastAsia"/>
          <w:sz w:val="24"/>
          <w:szCs w:val="24"/>
        </w:rPr>
        <w:t>，填写格式为“受表彰年份</w:t>
      </w:r>
      <w:r>
        <w:rPr>
          <w:sz w:val="24"/>
          <w:szCs w:val="24"/>
        </w:rPr>
        <w:t>+</w:t>
      </w:r>
      <w:r>
        <w:rPr>
          <w:rFonts w:cs="宋体" w:hint="eastAsia"/>
          <w:sz w:val="24"/>
          <w:szCs w:val="24"/>
        </w:rPr>
        <w:t>表彰奖励类别”，如“</w:t>
      </w:r>
      <w:r>
        <w:rPr>
          <w:sz w:val="24"/>
          <w:szCs w:val="24"/>
        </w:rPr>
        <w:t>2012</w:t>
      </w:r>
      <w:r>
        <w:rPr>
          <w:rFonts w:cs="宋体" w:hint="eastAsia"/>
          <w:sz w:val="24"/>
          <w:szCs w:val="24"/>
        </w:rPr>
        <w:t>年五一劳动奖章</w:t>
      </w:r>
      <w:r>
        <w:rPr>
          <w:sz w:val="24"/>
          <w:szCs w:val="24"/>
        </w:rPr>
        <w:t>"</w:t>
      </w:r>
      <w:r>
        <w:rPr>
          <w:rFonts w:cs="宋体" w:hint="eastAsia"/>
          <w:sz w:val="24"/>
          <w:szCs w:val="24"/>
        </w:rPr>
        <w:t>；</w:t>
      </w:r>
    </w:p>
    <w:p w:rsidR="00C9017B" w:rsidRDefault="00C9017B" w:rsidP="00C9017B">
      <w:pPr>
        <w:spacing w:line="500" w:lineRule="exact"/>
        <w:ind w:firstLine="480"/>
        <w:rPr>
          <w:sz w:val="24"/>
          <w:szCs w:val="24"/>
        </w:rPr>
      </w:pPr>
      <w:r>
        <w:rPr>
          <w:sz w:val="24"/>
          <w:szCs w:val="24"/>
        </w:rPr>
        <w:t>3.</w:t>
      </w:r>
      <w:r>
        <w:rPr>
          <w:rFonts w:cs="宋体" w:hint="eastAsia"/>
          <w:sz w:val="24"/>
          <w:szCs w:val="24"/>
        </w:rPr>
        <w:t>授予单位栏目应填写授予表彰的省部级以上党政机关；</w:t>
      </w:r>
    </w:p>
    <w:p w:rsidR="00C9017B" w:rsidRDefault="00C9017B" w:rsidP="00C9017B">
      <w:pPr>
        <w:spacing w:line="500" w:lineRule="exact"/>
        <w:ind w:firstLine="480"/>
        <w:rPr>
          <w:sz w:val="24"/>
          <w:szCs w:val="24"/>
        </w:rPr>
      </w:pPr>
      <w:r>
        <w:rPr>
          <w:sz w:val="24"/>
          <w:szCs w:val="24"/>
        </w:rPr>
        <w:t>4.</w:t>
      </w:r>
      <w:r>
        <w:rPr>
          <w:rFonts w:cs="宋体" w:hint="eastAsia"/>
          <w:sz w:val="24"/>
          <w:szCs w:val="24"/>
        </w:rPr>
        <w:t>当选为省级以上党代会代表或省级以上人大代表、政协委员情况栏目填写格式为“当选年份</w:t>
      </w:r>
      <w:r>
        <w:rPr>
          <w:sz w:val="24"/>
          <w:szCs w:val="24"/>
        </w:rPr>
        <w:t>+</w:t>
      </w:r>
      <w:r>
        <w:rPr>
          <w:rFonts w:cs="宋体" w:hint="eastAsia"/>
          <w:sz w:val="24"/>
          <w:szCs w:val="24"/>
        </w:rPr>
        <w:t>代表类型”，如“</w:t>
      </w:r>
      <w:r>
        <w:rPr>
          <w:sz w:val="24"/>
          <w:szCs w:val="24"/>
        </w:rPr>
        <w:t>2012</w:t>
      </w:r>
      <w:r>
        <w:rPr>
          <w:rFonts w:cs="宋体" w:hint="eastAsia"/>
          <w:sz w:val="24"/>
          <w:szCs w:val="24"/>
        </w:rPr>
        <w:t>年十八大代表”或“</w:t>
      </w:r>
      <w:r>
        <w:rPr>
          <w:sz w:val="24"/>
          <w:szCs w:val="24"/>
        </w:rPr>
        <w:t>2012</w:t>
      </w:r>
      <w:r>
        <w:rPr>
          <w:rFonts w:cs="宋体" w:hint="eastAsia"/>
          <w:sz w:val="24"/>
          <w:szCs w:val="24"/>
        </w:rPr>
        <w:t>年北京市人大代表”。</w:t>
      </w:r>
    </w:p>
    <w:p w:rsidR="00C9017B" w:rsidRPr="00F25CDF" w:rsidRDefault="00C9017B" w:rsidP="00C9017B">
      <w:pPr>
        <w:rPr>
          <w:rFonts w:ascii="仿宋" w:eastAsia="仿宋" w:hAnsi="仿宋"/>
          <w:sz w:val="32"/>
          <w:szCs w:val="32"/>
        </w:rPr>
      </w:pPr>
    </w:p>
    <w:p w:rsidR="000D2081" w:rsidRPr="00C9017B" w:rsidRDefault="000D2081"/>
    <w:sectPr w:rsidR="000D2081" w:rsidRPr="00C9017B" w:rsidSect="00CD4FE5">
      <w:pgSz w:w="11906" w:h="16838"/>
      <w:pgMar w:top="1440" w:right="1800" w:bottom="1440" w:left="1800" w:header="851" w:footer="73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FF" w:rsidRDefault="00505AFF" w:rsidP="00C9017B">
      <w:r>
        <w:separator/>
      </w:r>
    </w:p>
  </w:endnote>
  <w:endnote w:type="continuationSeparator" w:id="0">
    <w:p w:rsidR="00505AFF" w:rsidRDefault="00505AFF" w:rsidP="00C901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941126"/>
      <w:docPartObj>
        <w:docPartGallery w:val="Page Numbers (Bottom of Page)"/>
        <w:docPartUnique/>
      </w:docPartObj>
    </w:sdtPr>
    <w:sdtContent>
      <w:p w:rsidR="00C9017B" w:rsidRDefault="00C9017B">
        <w:pPr>
          <w:pStyle w:val="a3"/>
          <w:jc w:val="center"/>
        </w:pPr>
        <w:fldSimple w:instr=" PAGE   \* MERGEFORMAT ">
          <w:r w:rsidRPr="00C9017B">
            <w:rPr>
              <w:noProof/>
              <w:lang w:val="zh-CN"/>
            </w:rPr>
            <w:t>2</w:t>
          </w:r>
        </w:fldSimple>
      </w:p>
    </w:sdtContent>
  </w:sdt>
  <w:p w:rsidR="00F700E2" w:rsidRDefault="00505A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FF" w:rsidRDefault="00505AFF" w:rsidP="00C9017B">
      <w:r>
        <w:separator/>
      </w:r>
    </w:p>
  </w:footnote>
  <w:footnote w:type="continuationSeparator" w:id="0">
    <w:p w:rsidR="00505AFF" w:rsidRDefault="00505AFF" w:rsidP="00C901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17B"/>
    <w:rsid w:val="000D2081"/>
    <w:rsid w:val="00505AFF"/>
    <w:rsid w:val="00C901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7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9017B"/>
    <w:pPr>
      <w:tabs>
        <w:tab w:val="center" w:pos="4153"/>
        <w:tab w:val="right" w:pos="8306"/>
      </w:tabs>
      <w:snapToGrid w:val="0"/>
      <w:jc w:val="left"/>
    </w:pPr>
    <w:rPr>
      <w:sz w:val="18"/>
      <w:szCs w:val="18"/>
    </w:rPr>
  </w:style>
  <w:style w:type="character" w:customStyle="1" w:styleId="Char">
    <w:name w:val="页脚 Char"/>
    <w:basedOn w:val="a0"/>
    <w:link w:val="a3"/>
    <w:uiPriority w:val="99"/>
    <w:rsid w:val="00C9017B"/>
    <w:rPr>
      <w:rFonts w:ascii="Calibri" w:eastAsia="宋体" w:hAnsi="Calibri" w:cs="Calibri"/>
      <w:sz w:val="18"/>
      <w:szCs w:val="18"/>
    </w:rPr>
  </w:style>
  <w:style w:type="character" w:styleId="a4">
    <w:name w:val="page number"/>
    <w:basedOn w:val="a0"/>
    <w:uiPriority w:val="99"/>
    <w:rsid w:val="00C9017B"/>
  </w:style>
  <w:style w:type="paragraph" w:styleId="a5">
    <w:name w:val="header"/>
    <w:basedOn w:val="a"/>
    <w:link w:val="Char0"/>
    <w:uiPriority w:val="99"/>
    <w:semiHidden/>
    <w:unhideWhenUsed/>
    <w:rsid w:val="00C901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9017B"/>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2017-03-10T03:22:00Z</dcterms:created>
  <dcterms:modified xsi:type="dcterms:W3CDTF">2017-03-10T03:23:00Z</dcterms:modified>
</cp:coreProperties>
</file>