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Arial Narrow" w:hAnsi="Arial Narrow" w:eastAsia="仿宋" w:cs="Arial Narrow"/>
          <w:b/>
          <w:bCs/>
          <w:sz w:val="36"/>
          <w:szCs w:val="36"/>
          <w:lang w:val="en-US" w:eastAsia="zh-CN"/>
        </w:rPr>
      </w:pPr>
      <w:bookmarkStart w:id="14" w:name="_GoBack"/>
      <w:bookmarkEnd w:id="14"/>
      <w:r>
        <w:rPr>
          <w:rFonts w:hint="eastAsia" w:ascii="Arial Narrow" w:hAnsi="Arial Narrow" w:eastAsia="仿宋" w:cs="Arial Narrow"/>
          <w:b/>
          <w:bCs/>
          <w:sz w:val="36"/>
          <w:szCs w:val="36"/>
          <w:lang w:eastAsia="zh-CN"/>
        </w:rPr>
        <w:t>附件</w:t>
      </w:r>
      <w:r>
        <w:rPr>
          <w:rFonts w:hint="eastAsia" w:ascii="Arial Narrow" w:hAnsi="Arial Narrow" w:eastAsia="仿宋" w:cs="Arial Narrow"/>
          <w:b/>
          <w:bCs/>
          <w:sz w:val="36"/>
          <w:szCs w:val="36"/>
          <w:lang w:val="en-US" w:eastAsia="zh-CN"/>
        </w:rPr>
        <w:t>1</w:t>
      </w:r>
    </w:p>
    <w:p>
      <w:pPr>
        <w:spacing w:line="520" w:lineRule="exact"/>
        <w:jc w:val="center"/>
        <w:rPr>
          <w:rFonts w:hint="default" w:ascii="Arial Narrow" w:hAnsi="Arial Narrow" w:eastAsia="仿宋" w:cs="Arial Narrow"/>
          <w:b/>
          <w:bCs/>
          <w:sz w:val="36"/>
          <w:szCs w:val="36"/>
          <w:lang w:eastAsia="zh-CN"/>
        </w:rPr>
      </w:pPr>
    </w:p>
    <w:p>
      <w:pPr>
        <w:spacing w:line="520" w:lineRule="exact"/>
        <w:jc w:val="center"/>
        <w:outlineLvl w:val="0"/>
        <w:rPr>
          <w:rFonts w:hint="default" w:ascii="Arial Narrow" w:hAnsi="Arial Narrow" w:eastAsia="仿宋" w:cs="Arial Narrow"/>
          <w:b/>
          <w:bCs/>
          <w:sz w:val="36"/>
          <w:szCs w:val="36"/>
          <w:lang w:eastAsia="zh-CN"/>
        </w:rPr>
      </w:pPr>
      <w:bookmarkStart w:id="0" w:name="_Toc31258"/>
      <w:bookmarkStart w:id="1" w:name="_Toc29315"/>
    </w:p>
    <w:p>
      <w:pPr>
        <w:spacing w:line="520" w:lineRule="exact"/>
        <w:jc w:val="center"/>
        <w:outlineLvl w:val="0"/>
        <w:rPr>
          <w:rFonts w:hint="default" w:ascii="Arial Narrow" w:hAnsi="Arial Narrow" w:eastAsia="仿宋" w:cs="Arial Narrow"/>
          <w:b/>
          <w:bCs/>
          <w:sz w:val="36"/>
          <w:szCs w:val="36"/>
          <w:lang w:eastAsia="zh-CN"/>
        </w:rPr>
      </w:pPr>
    </w:p>
    <w:p>
      <w:pPr>
        <w:spacing w:line="520" w:lineRule="exact"/>
        <w:jc w:val="center"/>
        <w:outlineLvl w:val="0"/>
        <w:rPr>
          <w:rFonts w:hint="default" w:ascii="Arial Narrow" w:hAnsi="Arial Narrow" w:eastAsia="仿宋" w:cs="Arial Narrow"/>
          <w:b/>
          <w:bCs/>
          <w:sz w:val="36"/>
          <w:szCs w:val="36"/>
        </w:rPr>
      </w:pPr>
      <w:r>
        <w:rPr>
          <w:rFonts w:hint="default" w:ascii="Arial Narrow" w:hAnsi="Arial Narrow" w:eastAsia="仿宋" w:cs="Arial Narrow"/>
          <w:b/>
          <w:bCs/>
          <w:sz w:val="36"/>
          <w:szCs w:val="36"/>
          <w:lang w:eastAsia="zh-CN"/>
        </w:rPr>
        <w:t>XXXX</w:t>
      </w:r>
      <w:r>
        <w:rPr>
          <w:rFonts w:hint="default" w:ascii="Arial Narrow" w:hAnsi="Arial Narrow" w:eastAsia="仿宋" w:cs="Arial Narrow"/>
          <w:b/>
          <w:bCs/>
          <w:sz w:val="36"/>
          <w:szCs w:val="36"/>
        </w:rPr>
        <w:t>资产评估有限公司</w:t>
      </w:r>
      <w:bookmarkEnd w:id="0"/>
      <w:bookmarkEnd w:id="1"/>
    </w:p>
    <w:p>
      <w:pPr>
        <w:spacing w:line="600" w:lineRule="exact"/>
        <w:jc w:val="center"/>
        <w:outlineLvl w:val="0"/>
        <w:rPr>
          <w:rFonts w:ascii="Arial Narrow" w:hAnsi="Arial Narrow" w:eastAsia="黑体" w:cs="Times New Roman"/>
          <w:color w:val="auto"/>
          <w:sz w:val="44"/>
          <w:szCs w:val="44"/>
        </w:rPr>
      </w:pPr>
      <w:bookmarkStart w:id="2" w:name="_Toc32212"/>
      <w:bookmarkStart w:id="3" w:name="_Toc31094"/>
      <w:r>
        <w:rPr>
          <w:rFonts w:hint="default" w:ascii="Arial Narrow" w:hAnsi="Arial Narrow" w:eastAsia="仿宋" w:cs="Arial Narrow"/>
          <w:b/>
          <w:bCs/>
          <w:sz w:val="36"/>
          <w:szCs w:val="36"/>
          <w:lang w:val="en-US" w:eastAsia="zh-CN"/>
        </w:rPr>
        <w:t>2022年执业质量自查</w:t>
      </w:r>
      <w:r>
        <w:rPr>
          <w:rFonts w:hint="default" w:ascii="Arial Narrow" w:hAnsi="Arial Narrow" w:eastAsia="仿宋" w:cs="Arial Narrow"/>
          <w:b/>
          <w:bCs/>
          <w:sz w:val="36"/>
          <w:szCs w:val="36"/>
        </w:rPr>
        <w:t>报告</w:t>
      </w:r>
      <w:bookmarkEnd w:id="2"/>
      <w:bookmarkEnd w:id="3"/>
    </w:p>
    <w:p>
      <w:pPr>
        <w:spacing w:line="600" w:lineRule="exact"/>
        <w:jc w:val="center"/>
        <w:rPr>
          <w:rFonts w:ascii="Arial Narrow" w:hAnsi="Arial Narrow" w:eastAsia="黑体" w:cs="Times New Roman"/>
          <w:color w:val="auto"/>
          <w:sz w:val="52"/>
          <w:szCs w:val="52"/>
        </w:rPr>
      </w:pPr>
    </w:p>
    <w:p>
      <w:pPr>
        <w:spacing w:line="600" w:lineRule="exact"/>
        <w:jc w:val="center"/>
        <w:rPr>
          <w:rFonts w:ascii="Arial Narrow" w:hAnsi="Arial Narrow" w:eastAsia="黑体" w:cs="Times New Roman"/>
          <w:color w:val="auto"/>
          <w:sz w:val="52"/>
          <w:szCs w:val="52"/>
        </w:rPr>
      </w:pPr>
    </w:p>
    <w:p>
      <w:pPr>
        <w:spacing w:line="600" w:lineRule="exact"/>
        <w:jc w:val="center"/>
        <w:rPr>
          <w:rFonts w:hint="eastAsia" w:ascii="Arial Narrow" w:hAnsi="Arial Narrow" w:eastAsia="黑体" w:cs="Times New Roman"/>
          <w:color w:val="auto"/>
          <w:sz w:val="52"/>
          <w:szCs w:val="52"/>
        </w:rPr>
      </w:pPr>
    </w:p>
    <w:p>
      <w:pPr>
        <w:spacing w:line="600" w:lineRule="exact"/>
        <w:jc w:val="center"/>
        <w:rPr>
          <w:rFonts w:hint="eastAsia" w:ascii="Arial Narrow" w:hAnsi="Arial Narrow" w:eastAsia="黑体" w:cs="Times New Roman"/>
          <w:color w:val="auto"/>
          <w:sz w:val="52"/>
          <w:szCs w:val="52"/>
        </w:rPr>
      </w:pPr>
    </w:p>
    <w:p>
      <w:pPr>
        <w:spacing w:line="600" w:lineRule="exact"/>
        <w:jc w:val="center"/>
        <w:rPr>
          <w:rFonts w:hint="eastAsia" w:ascii="Arial Narrow" w:hAnsi="Arial Narrow" w:eastAsia="黑体" w:cs="Times New Roman"/>
          <w:color w:val="auto"/>
          <w:sz w:val="52"/>
          <w:szCs w:val="52"/>
        </w:rPr>
      </w:pPr>
    </w:p>
    <w:p>
      <w:pPr>
        <w:spacing w:line="600" w:lineRule="exact"/>
        <w:jc w:val="center"/>
        <w:rPr>
          <w:rFonts w:ascii="Arial Narrow" w:hAnsi="Arial Narrow" w:eastAsia="黑体" w:cs="Times New Roman"/>
          <w:color w:val="auto"/>
          <w:sz w:val="52"/>
          <w:szCs w:val="52"/>
        </w:rPr>
      </w:pPr>
    </w:p>
    <w:p>
      <w:pPr>
        <w:spacing w:line="600" w:lineRule="exact"/>
        <w:jc w:val="center"/>
        <w:rPr>
          <w:rFonts w:ascii="Arial Narrow" w:hAnsi="Arial Narrow" w:eastAsia="黑体" w:cs="Times New Roman"/>
          <w:color w:val="auto"/>
          <w:sz w:val="52"/>
          <w:szCs w:val="52"/>
        </w:rPr>
      </w:pPr>
    </w:p>
    <w:p>
      <w:pPr>
        <w:spacing w:line="600" w:lineRule="exact"/>
        <w:jc w:val="center"/>
        <w:rPr>
          <w:rFonts w:ascii="Arial Narrow" w:hAnsi="Arial Narrow" w:eastAsia="黑体" w:cs="Times New Roman"/>
          <w:color w:val="auto"/>
          <w:sz w:val="36"/>
          <w:szCs w:val="36"/>
        </w:rPr>
      </w:pPr>
    </w:p>
    <w:p>
      <w:pPr>
        <w:spacing w:line="600" w:lineRule="exact"/>
        <w:jc w:val="center"/>
        <w:rPr>
          <w:rFonts w:ascii="Arial Narrow" w:hAnsi="Arial Narrow" w:eastAsia="黑体" w:cs="Times New Roman"/>
          <w:color w:val="auto"/>
          <w:sz w:val="52"/>
          <w:szCs w:val="52"/>
        </w:rPr>
      </w:pPr>
    </w:p>
    <w:p>
      <w:pPr>
        <w:spacing w:line="600" w:lineRule="exact"/>
        <w:jc w:val="center"/>
        <w:rPr>
          <w:rFonts w:hint="default" w:ascii="Arial Narrow" w:hAnsi="Arial Narrow" w:eastAsia="仿宋" w:cs="Arial Narrow"/>
          <w:b/>
          <w:bCs/>
          <w:sz w:val="36"/>
          <w:szCs w:val="36"/>
          <w:lang w:val="en-US" w:eastAsia="zh-CN"/>
        </w:rPr>
      </w:pPr>
      <w:r>
        <w:rPr>
          <w:rFonts w:hint="eastAsia" w:ascii="Arial Narrow" w:hAnsi="Arial Narrow" w:eastAsia="仿宋" w:cs="Arial Narrow"/>
          <w:b/>
          <w:bCs/>
          <w:sz w:val="36"/>
          <w:szCs w:val="36"/>
          <w:lang w:val="en-US" w:eastAsia="zh-CN"/>
        </w:rPr>
        <w:t>二</w:t>
      </w:r>
      <w:r>
        <w:rPr>
          <w:rFonts w:hint="default" w:ascii="Arial Narrow" w:hAnsi="Arial Narrow" w:eastAsia="仿宋" w:cs="Arial Narrow"/>
          <w:b/>
          <w:bCs/>
          <w:sz w:val="36"/>
          <w:szCs w:val="36"/>
          <w:lang w:val="en-US" w:eastAsia="zh-CN"/>
        </w:rPr>
        <w:t>0</w:t>
      </w:r>
      <w:r>
        <w:rPr>
          <w:rFonts w:hint="eastAsia" w:ascii="Arial Narrow" w:hAnsi="Arial Narrow" w:eastAsia="仿宋" w:cs="Arial Narrow"/>
          <w:b/>
          <w:bCs/>
          <w:sz w:val="36"/>
          <w:szCs w:val="36"/>
          <w:lang w:val="en-US" w:eastAsia="zh-CN"/>
        </w:rPr>
        <w:t>二二年  月</w:t>
      </w:r>
    </w:p>
    <w:p>
      <w:pPr>
        <w:rPr>
          <w:rFonts w:ascii="Arial Narrow" w:hAnsi="Arial Narrow" w:eastAsia="黑体" w:cs="Times New Roman"/>
          <w:color w:val="auto"/>
          <w:sz w:val="36"/>
          <w:szCs w:val="36"/>
        </w:rPr>
      </w:pPr>
      <w:r>
        <w:rPr>
          <w:rFonts w:ascii="Arial Narrow" w:hAnsi="Arial Narrow" w:eastAsia="黑体" w:cs="Times New Roman"/>
          <w:color w:val="auto"/>
          <w:sz w:val="36"/>
          <w:szCs w:val="36"/>
        </w:rPr>
        <w:br w:type="page"/>
      </w:r>
    </w:p>
    <w:p>
      <w:pPr>
        <w:spacing w:line="600" w:lineRule="exact"/>
        <w:jc w:val="center"/>
        <w:rPr>
          <w:rFonts w:ascii="Arial Narrow" w:hAnsi="Arial Narrow" w:eastAsia="黑体" w:cs="Times New Roman"/>
          <w:color w:val="auto"/>
          <w:sz w:val="36"/>
          <w:szCs w:val="36"/>
        </w:rPr>
      </w:pPr>
    </w:p>
    <w:sdt>
      <w:sdt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id w:val="147473667"/>
        <w15:color w:val="DBDBDB"/>
        <w:docPartObj>
          <w:docPartGallery w:val="Table of Contents"/>
          <w:docPartUnique/>
        </w:docPartObj>
      </w:sdtPr>
      <w:sdtEndPr>
        <w:rPr>
          <w:rFonts w:hint="default" w:ascii="Arial Narrow" w:hAnsi="Arial Narrow" w:eastAsia="仿宋" w:cs="Arial Narrow"/>
          <w:b w:val="0"/>
          <w:bCs w:val="0"/>
          <w:kern w:val="2"/>
          <w:sz w:val="28"/>
          <w:szCs w:val="28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default" w:ascii="Arial Narrow" w:hAnsi="Arial Narrow" w:eastAsia="仿宋" w:cs="Arial Narrow"/>
              <w:sz w:val="28"/>
              <w:szCs w:val="28"/>
            </w:rPr>
          </w:pPr>
          <w:r>
            <w:rPr>
              <w:rFonts w:hint="default" w:ascii="Arial Narrow" w:hAnsi="Arial Narrow" w:eastAsia="仿宋" w:cs="Arial Narrow"/>
              <w:b/>
              <w:bCs/>
              <w:sz w:val="28"/>
              <w:szCs w:val="28"/>
            </w:rPr>
            <w:t>目录</w:t>
          </w:r>
        </w:p>
        <w:p>
          <w:pPr>
            <w:pStyle w:val="13"/>
            <w:tabs>
              <w:tab w:val="right" w:leader="dot" w:pos="8306"/>
            </w:tabs>
            <w:rPr>
              <w:rFonts w:hint="default" w:ascii="Arial Narrow" w:hAnsi="Arial Narrow" w:eastAsia="仿宋" w:cs="Arial Narrow"/>
              <w:sz w:val="28"/>
              <w:szCs w:val="28"/>
            </w:rPr>
          </w:pPr>
          <w:r>
            <w:rPr>
              <w:rFonts w:hint="default" w:ascii="Arial Narrow" w:hAnsi="Arial Narrow" w:eastAsia="仿宋" w:cs="Arial Narrow"/>
              <w:sz w:val="28"/>
              <w:szCs w:val="28"/>
            </w:rPr>
            <w:fldChar w:fldCharType="begin"/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instrText xml:space="preserve">TOC \o "1-1" \h \u </w:instrText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fldChar w:fldCharType="separate"/>
          </w:r>
        </w:p>
        <w:p>
          <w:pPr>
            <w:pStyle w:val="13"/>
            <w:tabs>
              <w:tab w:val="right" w:leader="dot" w:pos="8306"/>
            </w:tabs>
            <w:rPr>
              <w:rFonts w:hint="default" w:ascii="Arial Narrow" w:hAnsi="Arial Narrow" w:eastAsia="仿宋" w:cs="Arial Narrow"/>
              <w:sz w:val="28"/>
              <w:szCs w:val="28"/>
            </w:rPr>
          </w:pPr>
          <w:r>
            <w:rPr>
              <w:rFonts w:hint="default" w:ascii="Arial Narrow" w:hAnsi="Arial Narrow" w:eastAsia="仿宋" w:cs="Arial Narrow"/>
              <w:sz w:val="28"/>
              <w:szCs w:val="28"/>
            </w:rPr>
            <w:fldChar w:fldCharType="begin"/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instrText xml:space="preserve"> HYPERLINK \l _Toc23872 </w:instrText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fldChar w:fldCharType="separate"/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t>一、</w:t>
          </w:r>
          <w:r>
            <w:rPr>
              <w:rFonts w:hint="default" w:ascii="Arial Narrow" w:hAnsi="Arial Narrow" w:eastAsia="仿宋" w:cs="Arial Narrow"/>
              <w:sz w:val="28"/>
              <w:szCs w:val="28"/>
              <w:lang w:val="en-US" w:eastAsia="zh-CN"/>
            </w:rPr>
            <w:t>自查</w:t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t>工作的基本情况</w:t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tab/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fldChar w:fldCharType="begin"/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instrText xml:space="preserve"> PAGEREF _Toc23872 \h </w:instrText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fldChar w:fldCharType="separate"/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t>3</w:t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fldChar w:fldCharType="end"/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306"/>
            </w:tabs>
            <w:rPr>
              <w:rFonts w:hint="default" w:ascii="Arial Narrow" w:hAnsi="Arial Narrow" w:eastAsia="仿宋" w:cs="Arial Narrow"/>
              <w:sz w:val="28"/>
              <w:szCs w:val="28"/>
            </w:rPr>
          </w:pPr>
          <w:r>
            <w:rPr>
              <w:rFonts w:hint="default" w:ascii="Arial Narrow" w:hAnsi="Arial Narrow" w:eastAsia="仿宋" w:cs="Arial Narrow"/>
              <w:sz w:val="28"/>
              <w:szCs w:val="28"/>
            </w:rPr>
            <w:fldChar w:fldCharType="begin"/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instrText xml:space="preserve"> HYPERLINK \l _Toc21538 </w:instrText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fldChar w:fldCharType="separate"/>
          </w:r>
          <w:r>
            <w:rPr>
              <w:rFonts w:hint="default" w:ascii="Arial Narrow" w:hAnsi="Arial Narrow" w:eastAsia="仿宋" w:cs="Arial Narrow"/>
              <w:sz w:val="28"/>
              <w:szCs w:val="28"/>
              <w:lang w:val="en-US" w:eastAsia="zh-CN"/>
            </w:rPr>
            <w:t>二、抽查情况</w:t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tab/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fldChar w:fldCharType="begin"/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instrText xml:space="preserve"> PAGEREF _Toc21538 \h </w:instrText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fldChar w:fldCharType="separate"/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t>4</w:t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fldChar w:fldCharType="end"/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306"/>
            </w:tabs>
            <w:rPr>
              <w:rFonts w:hint="default" w:ascii="Arial Narrow" w:hAnsi="Arial Narrow" w:eastAsia="仿宋" w:cs="Arial Narrow"/>
              <w:sz w:val="28"/>
              <w:szCs w:val="28"/>
            </w:rPr>
          </w:pPr>
          <w:r>
            <w:rPr>
              <w:rFonts w:hint="default" w:ascii="Arial Narrow" w:hAnsi="Arial Narrow" w:eastAsia="仿宋" w:cs="Arial Narrow"/>
              <w:sz w:val="28"/>
              <w:szCs w:val="28"/>
            </w:rPr>
            <w:fldChar w:fldCharType="begin"/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instrText xml:space="preserve"> HYPERLINK \l _Toc24939 </w:instrText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fldChar w:fldCharType="separate"/>
          </w:r>
          <w:r>
            <w:rPr>
              <w:rFonts w:hint="default" w:ascii="Arial Narrow" w:hAnsi="Arial Narrow" w:eastAsia="仿宋" w:cs="Arial Narrow"/>
              <w:sz w:val="28"/>
              <w:szCs w:val="28"/>
              <w:lang w:val="en-US" w:eastAsia="zh-CN"/>
            </w:rPr>
            <w:t>三</w:t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t>、</w:t>
          </w:r>
          <w:r>
            <w:rPr>
              <w:rFonts w:hint="eastAsia" w:ascii="Arial Narrow" w:hAnsi="Arial Narrow" w:eastAsia="仿宋" w:cs="Arial Narrow"/>
              <w:sz w:val="28"/>
              <w:szCs w:val="28"/>
              <w:lang w:val="en-US" w:eastAsia="zh-CN"/>
            </w:rPr>
            <w:t>自查业务报告发现的主要问题</w:t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tab/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fldChar w:fldCharType="begin"/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instrText xml:space="preserve"> PAGEREF _Toc24939 \h </w:instrText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fldChar w:fldCharType="separate"/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t>4</w:t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fldChar w:fldCharType="end"/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306"/>
            </w:tabs>
            <w:rPr>
              <w:rFonts w:hint="default" w:ascii="Arial Narrow" w:hAnsi="Arial Narrow" w:eastAsia="仿宋" w:cs="Arial Narrow"/>
              <w:sz w:val="28"/>
              <w:szCs w:val="28"/>
            </w:rPr>
          </w:pPr>
          <w:r>
            <w:rPr>
              <w:rFonts w:hint="default" w:ascii="Arial Narrow" w:hAnsi="Arial Narrow" w:eastAsia="仿宋" w:cs="Arial Narrow"/>
              <w:sz w:val="28"/>
              <w:szCs w:val="28"/>
            </w:rPr>
            <w:fldChar w:fldCharType="begin"/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instrText xml:space="preserve"> HYPERLINK \l _Toc1080 </w:instrText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fldChar w:fldCharType="separate"/>
          </w:r>
          <w:r>
            <w:rPr>
              <w:rFonts w:hint="default" w:ascii="Arial Narrow" w:hAnsi="Arial Narrow" w:eastAsia="仿宋" w:cs="Arial Narrow"/>
              <w:bCs/>
              <w:sz w:val="28"/>
              <w:szCs w:val="28"/>
              <w:lang w:val="en-US" w:eastAsia="zh-CN"/>
            </w:rPr>
            <w:t>四、</w:t>
          </w:r>
          <w:r>
            <w:rPr>
              <w:rFonts w:hint="default" w:ascii="Arial Narrow" w:hAnsi="Arial Narrow" w:eastAsia="仿宋" w:cs="Arial Narrow"/>
              <w:bCs/>
              <w:sz w:val="28"/>
              <w:szCs w:val="28"/>
            </w:rPr>
            <w:t xml:space="preserve"> 机构内部治理存在的问题</w:t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tab/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fldChar w:fldCharType="begin"/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instrText xml:space="preserve"> PAGEREF _Toc1080 \h </w:instrText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fldChar w:fldCharType="separate"/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t>6</w:t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fldChar w:fldCharType="end"/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306"/>
            </w:tabs>
            <w:rPr>
              <w:rFonts w:hint="default" w:ascii="Arial Narrow" w:hAnsi="Arial Narrow" w:eastAsia="仿宋" w:cs="Arial Narrow"/>
              <w:sz w:val="28"/>
              <w:szCs w:val="28"/>
            </w:rPr>
          </w:pPr>
          <w:r>
            <w:rPr>
              <w:rFonts w:hint="default" w:ascii="Arial Narrow" w:hAnsi="Arial Narrow" w:eastAsia="仿宋" w:cs="Arial Narrow"/>
              <w:sz w:val="28"/>
              <w:szCs w:val="28"/>
            </w:rPr>
            <w:fldChar w:fldCharType="begin"/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instrText xml:space="preserve"> HYPERLINK \l _Toc6792 </w:instrText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fldChar w:fldCharType="separate"/>
          </w:r>
          <w:r>
            <w:rPr>
              <w:rFonts w:hint="default" w:ascii="Arial Narrow" w:hAnsi="Arial Narrow" w:eastAsia="仿宋" w:cs="Arial Narrow"/>
              <w:sz w:val="28"/>
              <w:szCs w:val="28"/>
              <w:lang w:val="en-US" w:eastAsia="zh-CN"/>
            </w:rPr>
            <w:t>五、自查存在</w:t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t>问题产生的原因分析</w:t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tab/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fldChar w:fldCharType="begin"/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instrText xml:space="preserve"> PAGEREF _Toc6792 \h </w:instrText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fldChar w:fldCharType="separate"/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t>6</w:t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fldChar w:fldCharType="end"/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306"/>
            </w:tabs>
            <w:rPr>
              <w:rFonts w:hint="default" w:ascii="Arial Narrow" w:hAnsi="Arial Narrow" w:eastAsia="仿宋" w:cs="Arial Narrow"/>
              <w:sz w:val="28"/>
              <w:szCs w:val="28"/>
            </w:rPr>
          </w:pPr>
          <w:r>
            <w:rPr>
              <w:rFonts w:hint="default" w:ascii="Arial Narrow" w:hAnsi="Arial Narrow" w:eastAsia="仿宋" w:cs="Arial Narrow"/>
              <w:sz w:val="28"/>
              <w:szCs w:val="28"/>
            </w:rPr>
            <w:fldChar w:fldCharType="begin"/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instrText xml:space="preserve"> HYPERLINK \l _Toc32608 </w:instrText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fldChar w:fldCharType="separate"/>
          </w:r>
          <w:r>
            <w:rPr>
              <w:rFonts w:hint="default" w:ascii="Arial Narrow" w:hAnsi="Arial Narrow" w:eastAsia="仿宋" w:cs="Arial Narrow"/>
              <w:sz w:val="28"/>
              <w:szCs w:val="28"/>
              <w:lang w:val="en-US" w:eastAsia="zh-CN"/>
            </w:rPr>
            <w:t>六</w:t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t>、</w:t>
          </w:r>
          <w:r>
            <w:rPr>
              <w:rFonts w:hint="default" w:ascii="Arial Narrow" w:hAnsi="Arial Narrow" w:eastAsia="仿宋" w:cs="Arial Narrow"/>
              <w:sz w:val="28"/>
              <w:szCs w:val="28"/>
              <w:lang w:val="en-US" w:eastAsia="zh-CN"/>
            </w:rPr>
            <w:t>整改措施</w:t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tab/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fldChar w:fldCharType="begin"/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instrText xml:space="preserve"> PAGEREF _Toc32608 \h </w:instrText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fldChar w:fldCharType="separate"/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t>7</w:t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fldChar w:fldCharType="end"/>
          </w:r>
          <w:r>
            <w:rPr>
              <w:rFonts w:hint="default" w:ascii="Arial Narrow" w:hAnsi="Arial Narrow" w:eastAsia="仿宋" w:cs="Arial Narrow"/>
              <w:sz w:val="28"/>
              <w:szCs w:val="28"/>
            </w:rPr>
            <w:fldChar w:fldCharType="end"/>
          </w:r>
        </w:p>
        <w:p>
          <w:pPr>
            <w:rPr>
              <w:rFonts w:hint="default" w:ascii="Arial Narrow" w:hAnsi="Arial Narrow" w:eastAsia="仿宋" w:cs="Arial Narrow"/>
              <w:b w:val="0"/>
              <w:bCs w:val="0"/>
              <w:sz w:val="28"/>
              <w:szCs w:val="28"/>
            </w:rPr>
          </w:pPr>
          <w:r>
            <w:rPr>
              <w:rFonts w:hint="default" w:ascii="Arial Narrow" w:hAnsi="Arial Narrow" w:eastAsia="仿宋" w:cs="Arial Narrow"/>
              <w:sz w:val="28"/>
              <w:szCs w:val="28"/>
            </w:rPr>
            <w:fldChar w:fldCharType="end"/>
          </w:r>
        </w:p>
      </w:sdtContent>
    </w:sdt>
    <w:p>
      <w:pPr>
        <w:rPr>
          <w:rFonts w:hint="default" w:ascii="Arial Narrow" w:hAnsi="Arial Narrow" w:eastAsia="仿宋" w:cs="Arial Narrow"/>
          <w:b w:val="0"/>
          <w:bCs w:val="0"/>
          <w:sz w:val="28"/>
          <w:szCs w:val="28"/>
          <w:lang w:eastAsia="zh-CN"/>
        </w:rPr>
      </w:pPr>
      <w:r>
        <w:rPr>
          <w:rFonts w:hint="default" w:ascii="Arial Narrow" w:hAnsi="Arial Narrow" w:eastAsia="仿宋" w:cs="Arial Narrow"/>
          <w:b w:val="0"/>
          <w:bCs w:val="0"/>
          <w:sz w:val="28"/>
          <w:szCs w:val="28"/>
          <w:lang w:eastAsia="zh-CN"/>
        </w:rPr>
        <w:t>附表：2022年资产评估机构执业质量</w:t>
      </w:r>
      <w:r>
        <w:rPr>
          <w:rFonts w:hint="eastAsia" w:ascii="Arial Narrow" w:hAnsi="Arial Narrow" w:eastAsia="仿宋" w:cs="Arial Narrow"/>
          <w:b w:val="0"/>
          <w:bCs w:val="0"/>
          <w:sz w:val="28"/>
          <w:szCs w:val="28"/>
          <w:lang w:val="en-US" w:eastAsia="zh-CN"/>
        </w:rPr>
        <w:t>自查业务报告发现</w:t>
      </w:r>
      <w:r>
        <w:rPr>
          <w:rFonts w:hint="default" w:ascii="Arial Narrow" w:hAnsi="Arial Narrow" w:eastAsia="仿宋" w:cs="Arial Narrow"/>
          <w:b w:val="0"/>
          <w:bCs w:val="0"/>
          <w:sz w:val="28"/>
          <w:szCs w:val="28"/>
          <w:lang w:eastAsia="zh-CN"/>
        </w:rPr>
        <w:t>问题汇总表</w:t>
      </w:r>
    </w:p>
    <w:p>
      <w:pPr>
        <w:rPr>
          <w:rFonts w:hint="default" w:ascii="Arial Narrow" w:hAnsi="Arial Narrow" w:eastAsia="仿宋" w:cs="Arial Narrow"/>
          <w:b w:val="0"/>
          <w:bCs w:val="0"/>
          <w:sz w:val="28"/>
          <w:szCs w:val="28"/>
          <w:lang w:eastAsia="zh-CN"/>
        </w:rPr>
      </w:pPr>
      <w:r>
        <w:rPr>
          <w:rFonts w:hint="default" w:ascii="Arial Narrow" w:hAnsi="Arial Narrow" w:eastAsia="仿宋" w:cs="Arial Narrow"/>
          <w:b w:val="0"/>
          <w:bCs w:val="0"/>
          <w:sz w:val="28"/>
          <w:szCs w:val="28"/>
          <w:lang w:eastAsia="zh-CN"/>
        </w:rPr>
        <w:t>资产评估业务基本情况表</w:t>
      </w:r>
    </w:p>
    <w:p>
      <w:pPr>
        <w:rPr>
          <w:rFonts w:hint="default" w:ascii="Arial Narrow" w:hAnsi="Arial Narrow" w:eastAsia="仿宋" w:cs="Arial Narrow"/>
          <w:b/>
          <w:bCs/>
          <w:sz w:val="36"/>
          <w:szCs w:val="36"/>
          <w:lang w:eastAsia="zh-CN"/>
        </w:rPr>
      </w:pPr>
      <w:r>
        <w:rPr>
          <w:rFonts w:hint="default" w:ascii="Arial Narrow" w:hAnsi="Arial Narrow" w:eastAsia="仿宋" w:cs="Arial Narrow"/>
          <w:b w:val="0"/>
          <w:bCs w:val="0"/>
          <w:sz w:val="28"/>
          <w:szCs w:val="28"/>
          <w:lang w:eastAsia="zh-CN"/>
        </w:rPr>
        <w:t>资产评估业务打分表</w:t>
      </w:r>
      <w:r>
        <w:rPr>
          <w:rFonts w:hint="default" w:ascii="Arial Narrow" w:hAnsi="Arial Narrow" w:eastAsia="仿宋" w:cs="Arial Narrow"/>
          <w:b/>
          <w:bCs/>
          <w:sz w:val="36"/>
          <w:szCs w:val="36"/>
          <w:lang w:eastAsia="zh-CN"/>
        </w:rPr>
        <w:br w:type="page"/>
      </w:r>
    </w:p>
    <w:p>
      <w:pPr>
        <w:spacing w:line="520" w:lineRule="exact"/>
        <w:jc w:val="center"/>
        <w:rPr>
          <w:rFonts w:hint="default" w:ascii="Arial Narrow" w:hAnsi="Arial Narrow" w:eastAsia="仿宋" w:cs="Arial Narrow"/>
          <w:b/>
          <w:bCs/>
          <w:sz w:val="36"/>
          <w:szCs w:val="36"/>
          <w:lang w:eastAsia="zh-CN"/>
        </w:rPr>
      </w:pPr>
    </w:p>
    <w:p>
      <w:pPr>
        <w:spacing w:line="520" w:lineRule="exact"/>
        <w:jc w:val="center"/>
        <w:outlineLvl w:val="0"/>
        <w:rPr>
          <w:rFonts w:hint="eastAsia" w:ascii="楷体" w:hAnsi="楷体" w:eastAsia="楷体" w:cs="楷体"/>
          <w:b/>
          <w:bCs/>
          <w:sz w:val="44"/>
          <w:szCs w:val="44"/>
        </w:rPr>
      </w:pPr>
      <w:bookmarkStart w:id="4" w:name="_Toc15461"/>
      <w:bookmarkStart w:id="5" w:name="_Toc20186"/>
      <w:r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  <w:t>XXXX</w:t>
      </w:r>
      <w:r>
        <w:rPr>
          <w:rFonts w:hint="eastAsia" w:ascii="楷体" w:hAnsi="楷体" w:eastAsia="楷体" w:cs="楷体"/>
          <w:b/>
          <w:bCs/>
          <w:sz w:val="44"/>
          <w:szCs w:val="44"/>
        </w:rPr>
        <w:t>资产评估有限公司</w:t>
      </w:r>
      <w:bookmarkEnd w:id="4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20" w:lineRule="exact"/>
        <w:jc w:val="center"/>
        <w:textAlignment w:val="auto"/>
        <w:outlineLvl w:val="0"/>
        <w:rPr>
          <w:rFonts w:hint="eastAsia" w:ascii="楷体" w:hAnsi="楷体" w:eastAsia="楷体" w:cs="楷体"/>
          <w:b w:val="0"/>
          <w:bCs w:val="0"/>
          <w:sz w:val="44"/>
          <w:szCs w:val="44"/>
        </w:rPr>
      </w:pPr>
      <w:bookmarkStart w:id="6" w:name="_Toc32104"/>
      <w:bookmarkStart w:id="7" w:name="_Toc8360"/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>2022年执业质量自查</w:t>
      </w:r>
      <w:r>
        <w:rPr>
          <w:rFonts w:hint="eastAsia" w:ascii="楷体" w:hAnsi="楷体" w:eastAsia="楷体" w:cs="楷体"/>
          <w:b/>
          <w:bCs/>
          <w:sz w:val="44"/>
          <w:szCs w:val="44"/>
        </w:rPr>
        <w:t>报告</w:t>
      </w:r>
      <w:bookmarkEnd w:id="6"/>
      <w:bookmarkEnd w:id="7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textAlignment w:val="auto"/>
        <w:rPr>
          <w:rFonts w:hint="default"/>
          <w:sz w:val="32"/>
          <w:szCs w:val="32"/>
        </w:rPr>
      </w:pPr>
      <w:bookmarkStart w:id="8" w:name="_Toc23872"/>
      <w:r>
        <w:rPr>
          <w:rFonts w:hint="eastAsia" w:ascii="仿宋" w:hAnsi="仿宋" w:eastAsia="仿宋" w:cs="仿宋"/>
          <w:sz w:val="32"/>
          <w:szCs w:val="32"/>
        </w:rPr>
        <w:t>一、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自查</w:t>
      </w:r>
      <w:r>
        <w:rPr>
          <w:rFonts w:hint="eastAsia" w:ascii="仿宋" w:hAnsi="仿宋" w:eastAsia="仿宋" w:cs="仿宋"/>
          <w:sz w:val="32"/>
          <w:szCs w:val="32"/>
        </w:rPr>
        <w:t>工作的基本情况</w:t>
      </w:r>
      <w:bookmarkEnd w:id="8"/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.自查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小组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：组长：（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拟由首席评估师担任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，组员：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.自查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时间： 202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日至 202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2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日。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3.自查范围：2021年1月1日-2021年12月31日出具的资产评估报告和工作底稿。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4.自查机构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基本情况：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（1）机构名称：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XXXX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资产评估有限公司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（2）机构地址：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（3）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首席资产评估师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（4）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股东人数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其中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股东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出资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万，占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出资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万，占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）执业人员人数：人 ，其中资产评估师人数：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人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）业务开展情况：            单位：万元/个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1"/>
        <w:gridCol w:w="1680"/>
        <w:gridCol w:w="1580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3661" w:type="dxa"/>
          </w:tcPr>
          <w:p>
            <w:pPr>
              <w:spacing w:line="520" w:lineRule="exact"/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</w:pPr>
            <w:r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  <w:t>项目</w:t>
            </w:r>
          </w:p>
        </w:tc>
        <w:tc>
          <w:tcPr>
            <w:tcW w:w="1680" w:type="dxa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Cs w:val="21"/>
              </w:rPr>
            </w:pPr>
            <w:r>
              <w:rPr>
                <w:rFonts w:hint="default" w:ascii="Arial Narrow" w:hAnsi="Arial Narrow" w:eastAsia="仿宋" w:cs="Arial Narrow"/>
                <w:b w:val="0"/>
                <w:bCs w:val="0"/>
                <w:szCs w:val="21"/>
              </w:rPr>
              <w:t>20</w:t>
            </w:r>
            <w:r>
              <w:rPr>
                <w:rFonts w:hint="default" w:ascii="Arial Narrow" w:hAnsi="Arial Narrow" w:eastAsia="仿宋" w:cs="Arial Narrow"/>
                <w:b w:val="0"/>
                <w:bCs w:val="0"/>
                <w:szCs w:val="21"/>
                <w:lang w:val="en-US" w:eastAsia="zh-CN"/>
              </w:rPr>
              <w:t>20</w:t>
            </w:r>
            <w:r>
              <w:rPr>
                <w:rFonts w:hint="default" w:ascii="Arial Narrow" w:hAnsi="Arial Narrow" w:eastAsia="仿宋" w:cs="Arial Narrow"/>
                <w:b w:val="0"/>
                <w:bCs w:val="0"/>
                <w:szCs w:val="21"/>
              </w:rPr>
              <w:t>年</w:t>
            </w:r>
          </w:p>
        </w:tc>
        <w:tc>
          <w:tcPr>
            <w:tcW w:w="1580" w:type="dxa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Cs w:val="21"/>
              </w:rPr>
            </w:pPr>
            <w:r>
              <w:rPr>
                <w:rFonts w:hint="default" w:ascii="Arial Narrow" w:hAnsi="Arial Narrow" w:eastAsia="仿宋" w:cs="Arial Narrow"/>
                <w:b w:val="0"/>
                <w:bCs w:val="0"/>
                <w:szCs w:val="21"/>
              </w:rPr>
              <w:t>202</w:t>
            </w:r>
            <w:r>
              <w:rPr>
                <w:rFonts w:hint="eastAsia" w:ascii="Arial Narrow" w:hAnsi="Arial Narrow" w:eastAsia="仿宋" w:cs="Arial Narrow"/>
                <w:b w:val="0"/>
                <w:bCs w:val="0"/>
                <w:szCs w:val="21"/>
                <w:lang w:val="en-US" w:eastAsia="zh-CN"/>
              </w:rPr>
              <w:t>1</w:t>
            </w:r>
            <w:r>
              <w:rPr>
                <w:rFonts w:hint="default" w:ascii="Arial Narrow" w:hAnsi="Arial Narrow" w:eastAsia="仿宋" w:cs="Arial Narrow"/>
                <w:b w:val="0"/>
                <w:bCs w:val="0"/>
                <w:szCs w:val="21"/>
              </w:rPr>
              <w:t>年</w:t>
            </w:r>
          </w:p>
        </w:tc>
        <w:tc>
          <w:tcPr>
            <w:tcW w:w="1520" w:type="dxa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Cs w:val="21"/>
              </w:rPr>
            </w:pPr>
            <w:r>
              <w:rPr>
                <w:rFonts w:hint="default" w:ascii="Arial Narrow" w:hAnsi="Arial Narrow" w:eastAsia="仿宋" w:cs="Arial Narrow"/>
                <w:b w:val="0"/>
                <w:bCs w:val="0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3661" w:type="dxa"/>
          </w:tcPr>
          <w:p>
            <w:pPr>
              <w:spacing w:line="520" w:lineRule="exact"/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</w:pPr>
            <w:r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  <w:t>出具资产评估报告总数</w:t>
            </w:r>
          </w:p>
        </w:tc>
        <w:tc>
          <w:tcPr>
            <w:tcW w:w="1680" w:type="dxa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Cs w:val="21"/>
              </w:rPr>
            </w:pPr>
          </w:p>
        </w:tc>
        <w:tc>
          <w:tcPr>
            <w:tcW w:w="1580" w:type="dxa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Cs w:val="21"/>
              </w:rPr>
            </w:pPr>
          </w:p>
        </w:tc>
        <w:tc>
          <w:tcPr>
            <w:tcW w:w="1520" w:type="dxa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661" w:type="dxa"/>
          </w:tcPr>
          <w:p>
            <w:pPr>
              <w:spacing w:line="520" w:lineRule="exact"/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</w:pPr>
            <w:r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  <w:t>其中：（1）证券业务报告数</w:t>
            </w:r>
          </w:p>
        </w:tc>
        <w:tc>
          <w:tcPr>
            <w:tcW w:w="1680" w:type="dxa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Cs w:val="21"/>
              </w:rPr>
            </w:pPr>
          </w:p>
        </w:tc>
        <w:tc>
          <w:tcPr>
            <w:tcW w:w="1580" w:type="dxa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Cs w:val="21"/>
              </w:rPr>
            </w:pPr>
          </w:p>
        </w:tc>
        <w:tc>
          <w:tcPr>
            <w:tcW w:w="1520" w:type="dxa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3661" w:type="dxa"/>
          </w:tcPr>
          <w:p>
            <w:pPr>
              <w:spacing w:line="520" w:lineRule="exact"/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</w:pPr>
            <w:r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  <w:t xml:space="preserve">     （2）国资业务报告数</w:t>
            </w:r>
          </w:p>
        </w:tc>
        <w:tc>
          <w:tcPr>
            <w:tcW w:w="1680" w:type="dxa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Cs w:val="21"/>
              </w:rPr>
            </w:pPr>
          </w:p>
        </w:tc>
        <w:tc>
          <w:tcPr>
            <w:tcW w:w="1580" w:type="dxa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Cs w:val="21"/>
              </w:rPr>
            </w:pPr>
          </w:p>
        </w:tc>
        <w:tc>
          <w:tcPr>
            <w:tcW w:w="1520" w:type="dxa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3661" w:type="dxa"/>
          </w:tcPr>
          <w:p>
            <w:pPr>
              <w:spacing w:line="520" w:lineRule="exact"/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</w:pPr>
            <w:r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  <w:t xml:space="preserve">     （3）其他业务报告数</w:t>
            </w:r>
          </w:p>
        </w:tc>
        <w:tc>
          <w:tcPr>
            <w:tcW w:w="1680" w:type="dxa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Cs w:val="21"/>
              </w:rPr>
            </w:pPr>
          </w:p>
        </w:tc>
        <w:tc>
          <w:tcPr>
            <w:tcW w:w="1580" w:type="dxa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Cs w:val="21"/>
              </w:rPr>
            </w:pPr>
          </w:p>
        </w:tc>
        <w:tc>
          <w:tcPr>
            <w:tcW w:w="1520" w:type="dxa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3661" w:type="dxa"/>
          </w:tcPr>
          <w:p>
            <w:pPr>
              <w:spacing w:line="520" w:lineRule="exact"/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</w:pPr>
            <w:r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  <w:t>收入总额</w:t>
            </w:r>
          </w:p>
        </w:tc>
        <w:tc>
          <w:tcPr>
            <w:tcW w:w="1680" w:type="dxa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Cs w:val="21"/>
              </w:rPr>
            </w:pPr>
          </w:p>
        </w:tc>
        <w:tc>
          <w:tcPr>
            <w:tcW w:w="1580" w:type="dxa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Cs w:val="21"/>
              </w:rPr>
            </w:pPr>
          </w:p>
        </w:tc>
        <w:tc>
          <w:tcPr>
            <w:tcW w:w="1520" w:type="dxa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661" w:type="dxa"/>
          </w:tcPr>
          <w:p>
            <w:pPr>
              <w:spacing w:line="520" w:lineRule="exact"/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</w:pPr>
            <w:r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  <w:t>其中：分支机构收入</w:t>
            </w:r>
          </w:p>
        </w:tc>
        <w:tc>
          <w:tcPr>
            <w:tcW w:w="1680" w:type="dxa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</w:pPr>
          </w:p>
        </w:tc>
        <w:tc>
          <w:tcPr>
            <w:tcW w:w="1580" w:type="dxa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</w:pPr>
          </w:p>
        </w:tc>
        <w:tc>
          <w:tcPr>
            <w:tcW w:w="1520" w:type="dxa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</w:pPr>
          </w:p>
        </w:tc>
      </w:tr>
    </w:tbl>
    <w:p>
      <w:pPr>
        <w:spacing w:line="520" w:lineRule="exact"/>
        <w:ind w:firstLine="560" w:firstLineChars="200"/>
        <w:rPr>
          <w:rFonts w:hint="default" w:ascii="Arial Narrow" w:hAnsi="Arial Narrow" w:eastAsia="仿宋" w:cs="Arial Narrow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textAlignment w:val="auto"/>
        <w:rPr>
          <w:rFonts w:hint="default"/>
          <w:lang w:val="en-US" w:eastAsia="zh-CN"/>
        </w:rPr>
      </w:pPr>
      <w:bookmarkStart w:id="9" w:name="_Toc21538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二、自查业务报告情况</w:t>
      </w:r>
      <w:bookmarkEnd w:id="9"/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抽查报告情况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本评估机构本次抽查评估报告和底稿共计   份，约占总报告   %。具体抽查数量如下：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2"/>
        <w:gridCol w:w="1828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2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</w:pPr>
            <w:r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  <w:t>项目</w:t>
            </w:r>
          </w:p>
        </w:tc>
        <w:tc>
          <w:tcPr>
            <w:tcW w:w="1828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</w:pPr>
            <w:r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  <w:t>抽查份数</w:t>
            </w:r>
          </w:p>
        </w:tc>
        <w:tc>
          <w:tcPr>
            <w:tcW w:w="213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</w:pPr>
            <w:r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  <w:t>其中涉及证券业务的报告份数</w:t>
            </w:r>
          </w:p>
        </w:tc>
        <w:tc>
          <w:tcPr>
            <w:tcW w:w="213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</w:pPr>
            <w:r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  <w:t>其中涉及国资项目的报告份数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432" w:type="dxa"/>
            <w:vAlign w:val="center"/>
          </w:tcPr>
          <w:p>
            <w:pPr>
              <w:spacing w:line="520" w:lineRule="exact"/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</w:pPr>
            <w:r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  <w:t>企业价值评估报告</w:t>
            </w:r>
          </w:p>
        </w:tc>
        <w:tc>
          <w:tcPr>
            <w:tcW w:w="1828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2" w:type="dxa"/>
            <w:vAlign w:val="center"/>
          </w:tcPr>
          <w:p>
            <w:pPr>
              <w:spacing w:line="520" w:lineRule="exact"/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</w:pPr>
            <w:r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  <w:t>无形资产评估报告</w:t>
            </w:r>
          </w:p>
        </w:tc>
        <w:tc>
          <w:tcPr>
            <w:tcW w:w="1828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2" w:type="dxa"/>
            <w:vAlign w:val="center"/>
          </w:tcPr>
          <w:p>
            <w:pPr>
              <w:spacing w:line="520" w:lineRule="exact"/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</w:pPr>
            <w:r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  <w:t>单项资产评估报告</w:t>
            </w:r>
          </w:p>
        </w:tc>
        <w:tc>
          <w:tcPr>
            <w:tcW w:w="1828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432" w:type="dxa"/>
            <w:vAlign w:val="center"/>
          </w:tcPr>
          <w:p>
            <w:pPr>
              <w:spacing w:line="520" w:lineRule="exact"/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</w:pPr>
            <w:r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  <w:t>以财务报告为目的的评估报告</w:t>
            </w:r>
          </w:p>
        </w:tc>
        <w:tc>
          <w:tcPr>
            <w:tcW w:w="1828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2" w:type="dxa"/>
            <w:vAlign w:val="center"/>
          </w:tcPr>
          <w:p>
            <w:pPr>
              <w:spacing w:line="520" w:lineRule="exact"/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</w:pPr>
            <w:r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  <w:t>其他类型评估报告</w:t>
            </w:r>
          </w:p>
        </w:tc>
        <w:tc>
          <w:tcPr>
            <w:tcW w:w="1828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2" w:type="dxa"/>
            <w:vAlign w:val="center"/>
          </w:tcPr>
          <w:p>
            <w:pPr>
              <w:spacing w:line="520" w:lineRule="exact"/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</w:pPr>
            <w:r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  <w:t>合计</w:t>
            </w:r>
          </w:p>
        </w:tc>
        <w:tc>
          <w:tcPr>
            <w:tcW w:w="1828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Arial Narrow" w:hAnsi="Arial Narrow" w:eastAsia="仿宋" w:cs="Arial Narrow"/>
                <w:b w:val="0"/>
                <w:bCs w:val="0"/>
                <w:sz w:val="24"/>
              </w:rPr>
            </w:pPr>
          </w:p>
        </w:tc>
      </w:tr>
    </w:tbl>
    <w:p>
      <w:pPr>
        <w:spacing w:line="30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抽查报告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得分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情况：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9"/>
        <w:gridCol w:w="1730"/>
        <w:gridCol w:w="1596"/>
        <w:gridCol w:w="27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uto"/>
              <w:jc w:val="center"/>
              <w:rPr>
                <w:rFonts w:hint="default" w:ascii="Arial Narrow" w:hAnsi="Arial Narrow" w:eastAsia="仿宋_GB2312" w:cs="Arial Narrow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Arial Narrow" w:hAnsi="Arial Narrow" w:eastAsia="仿宋_GB2312" w:cs="Arial Narrow"/>
                <w:b w:val="0"/>
                <w:bCs w:val="0"/>
                <w:color w:val="auto"/>
                <w:sz w:val="24"/>
                <w:szCs w:val="24"/>
              </w:rPr>
              <w:t>项目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Arial Narrow" w:hAnsi="Arial Narrow" w:eastAsia="仿宋_GB2312" w:cs="Arial Narrow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Arial Narrow" w:hAnsi="Arial Narrow" w:eastAsia="仿宋_GB2312" w:cs="Arial Narrow"/>
                <w:b w:val="0"/>
                <w:bCs w:val="0"/>
                <w:color w:val="auto"/>
                <w:sz w:val="24"/>
                <w:szCs w:val="24"/>
              </w:rPr>
              <w:t>抽查份数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Arial Narrow" w:hAnsi="Arial Narrow" w:eastAsia="仿宋_GB2312" w:cs="Arial Narrow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Arial Narrow" w:hAnsi="Arial Narrow" w:eastAsia="仿宋_GB2312" w:cs="Arial Narrow"/>
                <w:b w:val="0"/>
                <w:bCs w:val="0"/>
                <w:color w:val="auto"/>
                <w:sz w:val="24"/>
                <w:szCs w:val="24"/>
              </w:rPr>
              <w:t>平均得分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Arial Narrow" w:hAnsi="Arial Narrow" w:eastAsia="仿宋_GB2312" w:cs="Arial Narrow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Arial Narrow" w:hAnsi="Arial Narrow" w:eastAsia="仿宋_GB2312" w:cs="Arial Narrow"/>
                <w:b w:val="0"/>
                <w:bCs w:val="0"/>
                <w:color w:val="auto"/>
                <w:sz w:val="24"/>
                <w:szCs w:val="24"/>
              </w:rPr>
              <w:t>其中涉及证券业务的报告份数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default" w:ascii="Arial Narrow" w:hAnsi="Arial Narrow" w:eastAsia="仿宋_GB2312" w:cs="Arial Narrow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Arial Narrow" w:hAnsi="Arial Narrow" w:eastAsia="仿宋_GB2312" w:cs="Arial Narrow"/>
                <w:b w:val="0"/>
                <w:bCs w:val="0"/>
                <w:color w:val="auto"/>
                <w:sz w:val="24"/>
                <w:szCs w:val="24"/>
              </w:rPr>
              <w:t>企业价值评估报告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uto"/>
              <w:jc w:val="center"/>
              <w:rPr>
                <w:rFonts w:hint="default" w:ascii="Arial Narrow" w:hAnsi="Arial Narrow" w:eastAsia="仿宋_GB2312" w:cs="Arial Narrow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uto"/>
              <w:jc w:val="center"/>
              <w:rPr>
                <w:rFonts w:hint="default" w:ascii="Arial Narrow" w:hAnsi="Arial Narrow" w:eastAsia="仿宋_GB2312" w:cs="Arial Narrow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default" w:ascii="Arial Narrow" w:hAnsi="Arial Narrow" w:eastAsia="仿宋_GB2312" w:cs="Arial Narrow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default" w:ascii="Arial Narrow" w:hAnsi="Arial Narrow" w:eastAsia="仿宋_GB2312" w:cs="Arial Narrow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Arial Narrow" w:hAnsi="Arial Narrow" w:eastAsia="仿宋_GB2312" w:cs="Arial Narrow"/>
                <w:b w:val="0"/>
                <w:bCs w:val="0"/>
                <w:color w:val="auto"/>
                <w:sz w:val="24"/>
                <w:szCs w:val="24"/>
              </w:rPr>
              <w:t>无形资产评估报告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uto"/>
              <w:jc w:val="center"/>
              <w:rPr>
                <w:rFonts w:hint="default" w:ascii="Arial Narrow" w:hAnsi="Arial Narrow" w:eastAsia="仿宋_GB2312" w:cs="Arial Narrow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uto"/>
              <w:jc w:val="center"/>
              <w:rPr>
                <w:rFonts w:hint="default" w:ascii="Arial Narrow" w:hAnsi="Arial Narrow" w:eastAsia="仿宋_GB2312" w:cs="Arial Narrow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default" w:ascii="Arial Narrow" w:hAnsi="Arial Narrow" w:eastAsia="仿宋_GB2312" w:cs="Arial Narrow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default" w:ascii="Arial Narrow" w:hAnsi="Arial Narrow" w:eastAsia="仿宋_GB2312" w:cs="Arial Narrow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Arial Narrow" w:hAnsi="Arial Narrow" w:eastAsia="仿宋_GB2312" w:cs="Arial Narrow"/>
                <w:b w:val="0"/>
                <w:bCs w:val="0"/>
                <w:color w:val="auto"/>
                <w:sz w:val="24"/>
                <w:szCs w:val="24"/>
              </w:rPr>
              <w:t>单项资产评估报告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uto"/>
              <w:jc w:val="center"/>
              <w:rPr>
                <w:rFonts w:hint="default" w:ascii="Arial Narrow" w:hAnsi="Arial Narrow" w:eastAsia="仿宋_GB2312" w:cs="Arial Narrow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uto"/>
              <w:jc w:val="center"/>
              <w:rPr>
                <w:rFonts w:hint="default" w:ascii="Arial Narrow" w:hAnsi="Arial Narrow" w:eastAsia="仿宋_GB2312" w:cs="Arial Narrow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default" w:ascii="Arial Narrow" w:hAnsi="Arial Narrow" w:eastAsia="仿宋_GB2312" w:cs="Arial Narrow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default" w:ascii="Arial Narrow" w:hAnsi="Arial Narrow" w:eastAsia="仿宋_GB2312" w:cs="Arial Narrow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Arial Narrow" w:hAnsi="Arial Narrow" w:eastAsia="仿宋_GB2312" w:cs="Arial Narrow"/>
                <w:b w:val="0"/>
                <w:bCs w:val="0"/>
                <w:color w:val="auto"/>
                <w:sz w:val="24"/>
                <w:szCs w:val="24"/>
              </w:rPr>
              <w:t>资产组合评估报告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uto"/>
              <w:jc w:val="center"/>
              <w:rPr>
                <w:rFonts w:hint="default" w:ascii="Arial Narrow" w:hAnsi="Arial Narrow" w:eastAsia="仿宋_GB2312" w:cs="Arial Narrow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uto"/>
              <w:jc w:val="center"/>
              <w:rPr>
                <w:rFonts w:hint="default" w:ascii="Arial Narrow" w:hAnsi="Arial Narrow" w:eastAsia="仿宋_GB2312" w:cs="Arial Narrow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default" w:ascii="Arial Narrow" w:hAnsi="Arial Narrow" w:eastAsia="仿宋_GB2312" w:cs="Arial Narrow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default" w:ascii="Arial Narrow" w:hAnsi="Arial Narrow" w:eastAsia="仿宋_GB2312" w:cs="Arial Narrow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Arial Narrow" w:hAnsi="Arial Narrow" w:eastAsia="仿宋_GB2312" w:cs="Arial Narrow"/>
                <w:b w:val="0"/>
                <w:bCs w:val="0"/>
                <w:color w:val="auto"/>
                <w:sz w:val="24"/>
                <w:szCs w:val="24"/>
              </w:rPr>
              <w:t>其他（新业务）评估报告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uto"/>
              <w:jc w:val="center"/>
              <w:rPr>
                <w:rFonts w:hint="default" w:ascii="Arial Narrow" w:hAnsi="Arial Narrow" w:eastAsia="仿宋_GB2312" w:cs="Arial Narrow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uto"/>
              <w:jc w:val="center"/>
              <w:rPr>
                <w:rFonts w:hint="default" w:ascii="Arial Narrow" w:hAnsi="Arial Narrow" w:eastAsia="仿宋_GB2312" w:cs="Arial Narrow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default" w:ascii="Arial Narrow" w:hAnsi="Arial Narrow" w:eastAsia="仿宋_GB2312" w:cs="Arial Narrow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default" w:ascii="Arial Narrow" w:hAnsi="Arial Narrow" w:eastAsia="仿宋_GB2312" w:cs="Arial Narrow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Arial Narrow" w:hAnsi="Arial Narrow" w:eastAsia="仿宋_GB2312" w:cs="Arial Narrow"/>
                <w:b w:val="0"/>
                <w:bCs w:val="0"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uto"/>
              <w:jc w:val="center"/>
              <w:rPr>
                <w:rFonts w:hint="default" w:ascii="Arial Narrow" w:hAnsi="Arial Narrow" w:eastAsia="仿宋_GB2312" w:cs="Arial Narrow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uto"/>
              <w:jc w:val="center"/>
              <w:rPr>
                <w:rFonts w:hint="default" w:ascii="Arial Narrow" w:hAnsi="Arial Narrow" w:eastAsia="仿宋_GB2312" w:cs="Arial Narrow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default" w:ascii="Arial Narrow" w:hAnsi="Arial Narrow" w:eastAsia="仿宋_GB2312" w:cs="Arial Narrow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560" w:firstLineChars="200"/>
        <w:rPr>
          <w:rFonts w:hint="default" w:ascii="Arial Narrow" w:hAnsi="Arial Narrow" w:eastAsia="仿宋" w:cs="Arial Narrow"/>
          <w:b w:val="0"/>
          <w:bCs w:val="0"/>
          <w:sz w:val="28"/>
          <w:szCs w:val="28"/>
        </w:rPr>
      </w:pPr>
    </w:p>
    <w:p>
      <w:pPr>
        <w:spacing w:line="52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10" w:name="_Toc24939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自查业务报告发现的主要问题</w:t>
      </w:r>
      <w:bookmarkEnd w:id="10"/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（一）共性问题（要列示出具体问题，并指出与哪些评估准则规定存在差距）</w:t>
      </w: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1.评估工作底稿规范性和完备性存在的主要问题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2.评估报告内容规范性和完备性存在的主要问题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（二）个性问题（要列示存在问题的具体事实，并指出与哪些评估准则规定存在差距，不少于3个报告）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1.报告名称：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报告文号：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报告日期：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评估基准日：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评估目的：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评估对象：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评估范围：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价值类型：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评估方法：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评估结果（万元）：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；增值额：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；增值率：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主要增值资产及增值率：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spacing w:line="520" w:lineRule="exact"/>
        <w:ind w:firstLine="960" w:firstLineChars="300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签字资产评估师：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spacing w:line="520" w:lineRule="exact"/>
        <w:ind w:firstLine="960" w:firstLineChars="300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自查得分：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</w:t>
      </w:r>
    </w:p>
    <w:p>
      <w:pPr>
        <w:spacing w:line="520" w:lineRule="exact"/>
        <w:ind w:firstLine="960" w:firstLineChars="300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存在的个性问题：（与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执业质量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自查业务发现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问题汇总表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保持一致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）</w:t>
      </w:r>
    </w:p>
    <w:p>
      <w:pPr>
        <w:spacing w:line="520" w:lineRule="exact"/>
        <w:ind w:firstLine="960" w:firstLineChars="300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工作底稿方面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GB"/>
        </w:rPr>
        <w:t>……</w:t>
      </w:r>
    </w:p>
    <w:p>
      <w:pPr>
        <w:spacing w:line="520" w:lineRule="exact"/>
        <w:ind w:firstLine="960" w:firstLineChars="300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评估报告方面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GB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GB"/>
        </w:rPr>
        <w:t>……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2.（同上）</w:t>
      </w:r>
    </w:p>
    <w:p>
      <w:pPr>
        <w:spacing w:line="520" w:lineRule="exact"/>
        <w:ind w:firstLine="560" w:firstLineChars="200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GB"/>
        </w:rPr>
        <w:t>……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11" w:name="_Toc108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机构内部治理存在的问题</w:t>
      </w:r>
      <w:bookmarkEnd w:id="11"/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持续满足设立条件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自查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情况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（应符合《资产评估法》和财政部《资产评估行业财政监督管理办法》资产评估师是否挂名或者不在资产评估机构专职执业情况）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GB"/>
        </w:rPr>
        <w:t>……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（二）内部管理制度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自查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情况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应对标财政部《资产评估行业财政监督管理办法》规定制定内部管理制度，指出存在的不足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GB"/>
        </w:rPr>
        <w:t>……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风险防范机制自查情况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对标质量控制制度或业务管理制度，指出存在的不足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GB"/>
        </w:rPr>
        <w:t>……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（四）质量控制体系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自查情况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（应对标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32"/>
          <w:szCs w:val="32"/>
        </w:rPr>
        <w:t>资产评估专家指引第7号</w:t>
      </w:r>
      <w:r>
        <w:rPr>
          <w:rFonts w:hint="eastAsia" w:ascii="仿宋" w:hAnsi="仿宋" w:eastAsia="仿宋" w:cs="仿宋"/>
          <w:b w:val="0"/>
          <w:bCs w:val="0"/>
          <w:spacing w:val="-40"/>
          <w:kern w:val="0"/>
          <w:sz w:val="32"/>
          <w:szCs w:val="32"/>
        </w:rPr>
        <w:t>—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32"/>
          <w:szCs w:val="32"/>
        </w:rPr>
        <w:t>—中小评估机构业务质量控制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32"/>
          <w:szCs w:val="32"/>
          <w:lang w:val="en-US" w:eastAsia="zh-CN"/>
        </w:rPr>
        <w:t>指出存在的不足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）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GB"/>
        </w:rPr>
        <w:t>……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财务管理制度自查情况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对标会计制度和税务法规，指出存在的问题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pStyle w:val="2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12" w:name="_Toc6792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自查存在</w:t>
      </w:r>
      <w:r>
        <w:rPr>
          <w:rFonts w:hint="eastAsia" w:ascii="仿宋" w:hAnsi="仿宋" w:eastAsia="仿宋" w:cs="仿宋"/>
          <w:sz w:val="32"/>
          <w:szCs w:val="32"/>
        </w:rPr>
        <w:t>问题产生的原因分析</w:t>
      </w:r>
      <w:bookmarkEnd w:id="12"/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GB"/>
        </w:rPr>
        <w:t>……</w:t>
      </w:r>
    </w:p>
    <w:p>
      <w:pPr>
        <w:numPr>
          <w:ilvl w:val="0"/>
          <w:numId w:val="0"/>
        </w:numPr>
        <w:rPr>
          <w:rFonts w:hint="eastAsia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13" w:name="_Toc32608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整改措施</w:t>
      </w:r>
      <w:bookmarkEnd w:id="13"/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GB"/>
        </w:rPr>
        <w:t>……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附表：</w:t>
      </w:r>
    </w:p>
    <w:p>
      <w:pPr>
        <w:spacing w:line="520" w:lineRule="exac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年资产评估机构执业质量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自查业务发现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问题汇总表</w:t>
      </w:r>
    </w:p>
    <w:p>
      <w:pPr>
        <w:spacing w:line="520" w:lineRule="exac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2.XXXX号资产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评估业务基本情况表</w:t>
      </w:r>
    </w:p>
    <w:p>
      <w:pPr>
        <w:spacing w:line="520" w:lineRule="exac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3.XXXX号资产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评估业务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打分表</w:t>
      </w:r>
    </w:p>
    <w:p>
      <w:pPr>
        <w:spacing w:line="520" w:lineRule="exac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spacing w:line="520" w:lineRule="exact"/>
        <w:ind w:firstLine="3520" w:firstLineChars="11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XXXX资产评估有限公司（盖章）</w:t>
      </w:r>
    </w:p>
    <w:p>
      <w:pPr>
        <w:spacing w:line="520" w:lineRule="exact"/>
        <w:ind w:firstLine="4480" w:firstLineChars="14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22B058"/>
    <w:multiLevelType w:val="singleLevel"/>
    <w:tmpl w:val="1522B05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zYmFkNjNmMjhjZjg2MWI5MGNhZjA0YzBiMTI2ZjQifQ=="/>
  </w:docVars>
  <w:rsids>
    <w:rsidRoot w:val="00C67263"/>
    <w:rsid w:val="0001655C"/>
    <w:rsid w:val="0009679F"/>
    <w:rsid w:val="00156A44"/>
    <w:rsid w:val="001D4843"/>
    <w:rsid w:val="0022763D"/>
    <w:rsid w:val="002555EB"/>
    <w:rsid w:val="002A1754"/>
    <w:rsid w:val="002A19D7"/>
    <w:rsid w:val="002C51CD"/>
    <w:rsid w:val="00310E7C"/>
    <w:rsid w:val="00314536"/>
    <w:rsid w:val="00354019"/>
    <w:rsid w:val="00383474"/>
    <w:rsid w:val="0038533A"/>
    <w:rsid w:val="0039574D"/>
    <w:rsid w:val="003C5F1A"/>
    <w:rsid w:val="00416B65"/>
    <w:rsid w:val="00482C48"/>
    <w:rsid w:val="004B5704"/>
    <w:rsid w:val="004C35C0"/>
    <w:rsid w:val="005269C3"/>
    <w:rsid w:val="00543B20"/>
    <w:rsid w:val="00544F45"/>
    <w:rsid w:val="005B7A54"/>
    <w:rsid w:val="005C4C64"/>
    <w:rsid w:val="005F6257"/>
    <w:rsid w:val="00655E4C"/>
    <w:rsid w:val="00673ABA"/>
    <w:rsid w:val="006A756D"/>
    <w:rsid w:val="006E633A"/>
    <w:rsid w:val="007062AE"/>
    <w:rsid w:val="00762F54"/>
    <w:rsid w:val="007804DA"/>
    <w:rsid w:val="007B4E69"/>
    <w:rsid w:val="0083050D"/>
    <w:rsid w:val="008613F3"/>
    <w:rsid w:val="00891722"/>
    <w:rsid w:val="008A5E62"/>
    <w:rsid w:val="00A16EAB"/>
    <w:rsid w:val="00A244F5"/>
    <w:rsid w:val="00A25412"/>
    <w:rsid w:val="00A46A12"/>
    <w:rsid w:val="00A95FBE"/>
    <w:rsid w:val="00AA6BFE"/>
    <w:rsid w:val="00AC24EB"/>
    <w:rsid w:val="00AD44B1"/>
    <w:rsid w:val="00AE07B0"/>
    <w:rsid w:val="00B70AF5"/>
    <w:rsid w:val="00C24870"/>
    <w:rsid w:val="00C67263"/>
    <w:rsid w:val="00C74EC2"/>
    <w:rsid w:val="00CA5B87"/>
    <w:rsid w:val="00CE59DC"/>
    <w:rsid w:val="00CE77D9"/>
    <w:rsid w:val="00D071C5"/>
    <w:rsid w:val="00D209F9"/>
    <w:rsid w:val="00D67B60"/>
    <w:rsid w:val="00DE4010"/>
    <w:rsid w:val="00E12746"/>
    <w:rsid w:val="00E1367F"/>
    <w:rsid w:val="00E20C18"/>
    <w:rsid w:val="00E23BD2"/>
    <w:rsid w:val="00E4483B"/>
    <w:rsid w:val="00E56663"/>
    <w:rsid w:val="00E60247"/>
    <w:rsid w:val="00E8093A"/>
    <w:rsid w:val="00EA415B"/>
    <w:rsid w:val="00F52E35"/>
    <w:rsid w:val="01205DE2"/>
    <w:rsid w:val="02560625"/>
    <w:rsid w:val="026059A4"/>
    <w:rsid w:val="02F66674"/>
    <w:rsid w:val="066E2B01"/>
    <w:rsid w:val="0F8150F8"/>
    <w:rsid w:val="11895E8F"/>
    <w:rsid w:val="16E500B7"/>
    <w:rsid w:val="1800676D"/>
    <w:rsid w:val="18380BC2"/>
    <w:rsid w:val="1996426F"/>
    <w:rsid w:val="1C541A06"/>
    <w:rsid w:val="1D9E2BFC"/>
    <w:rsid w:val="21CB45BD"/>
    <w:rsid w:val="22C01D44"/>
    <w:rsid w:val="25325445"/>
    <w:rsid w:val="288E0F4E"/>
    <w:rsid w:val="291264FF"/>
    <w:rsid w:val="2AE46E69"/>
    <w:rsid w:val="2CD05DEF"/>
    <w:rsid w:val="2E78026C"/>
    <w:rsid w:val="2EC85C7A"/>
    <w:rsid w:val="322D70C7"/>
    <w:rsid w:val="35BD2549"/>
    <w:rsid w:val="39697599"/>
    <w:rsid w:val="397C2582"/>
    <w:rsid w:val="398D7996"/>
    <w:rsid w:val="3A38479A"/>
    <w:rsid w:val="3D43349B"/>
    <w:rsid w:val="40A45EE4"/>
    <w:rsid w:val="48FC62A3"/>
    <w:rsid w:val="4948550B"/>
    <w:rsid w:val="49EE58DA"/>
    <w:rsid w:val="4A04550C"/>
    <w:rsid w:val="4A5E5942"/>
    <w:rsid w:val="4AFF3F39"/>
    <w:rsid w:val="4D7A191D"/>
    <w:rsid w:val="50447D5F"/>
    <w:rsid w:val="52234E09"/>
    <w:rsid w:val="52F1352B"/>
    <w:rsid w:val="55AF1596"/>
    <w:rsid w:val="56150744"/>
    <w:rsid w:val="56957331"/>
    <w:rsid w:val="5DF21B4E"/>
    <w:rsid w:val="5FB97BF5"/>
    <w:rsid w:val="61606367"/>
    <w:rsid w:val="61C4510D"/>
    <w:rsid w:val="63C74CD7"/>
    <w:rsid w:val="67DC3669"/>
    <w:rsid w:val="6A176181"/>
    <w:rsid w:val="6C6C42F3"/>
    <w:rsid w:val="6F353E11"/>
    <w:rsid w:val="7B0F755B"/>
    <w:rsid w:val="7C280AA5"/>
    <w:rsid w:val="7E5E2E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9"/>
    <w:link w:val="3"/>
    <w:qFormat/>
    <w:uiPriority w:val="0"/>
    <w:rPr>
      <w:kern w:val="2"/>
      <w:sz w:val="18"/>
      <w:szCs w:val="18"/>
    </w:rPr>
  </w:style>
  <w:style w:type="paragraph" w:customStyle="1" w:styleId="13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1282</Words>
  <Characters>1355</Characters>
  <Lines>28</Lines>
  <Paragraphs>107</Paragraphs>
  <TotalTime>6</TotalTime>
  <ScaleCrop>false</ScaleCrop>
  <LinksUpToDate>false</LinksUpToDate>
  <CharactersWithSpaces>1736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老熏茶</cp:lastModifiedBy>
  <cp:lastPrinted>2022-09-02T11:52:00Z</cp:lastPrinted>
  <dcterms:modified xsi:type="dcterms:W3CDTF">2022-09-05T02:56:08Z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31567D49326A41B6AA516FCA0AF82FF2</vt:lpwstr>
  </property>
</Properties>
</file>