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spacing w:val="-2"/>
          <w:sz w:val="32"/>
        </w:rPr>
      </w:pPr>
      <w:bookmarkStart w:id="0" w:name="_Toc332433906"/>
      <w:bookmarkStart w:id="1" w:name="_GoBack"/>
      <w:bookmarkEnd w:id="1"/>
      <w:r>
        <w:rPr>
          <w:rFonts w:hint="eastAsia" w:ascii="黑体" w:eastAsia="黑体"/>
          <w:spacing w:val="-2"/>
          <w:sz w:val="32"/>
        </w:rPr>
        <w:t>附件</w:t>
      </w:r>
    </w:p>
    <w:p>
      <w:pPr>
        <w:spacing w:line="540" w:lineRule="atLeast"/>
        <w:ind w:firstLine="872" w:firstLineChars="200"/>
        <w:jc w:val="center"/>
        <w:rPr>
          <w:rFonts w:ascii="华文中宋" w:hAnsi="华文中宋" w:eastAsia="华文中宋"/>
          <w:spacing w:val="-2"/>
          <w:sz w:val="44"/>
          <w:szCs w:val="44"/>
        </w:rPr>
      </w:pPr>
    </w:p>
    <w:bookmarkEnd w:id="0"/>
    <w:p>
      <w:pPr>
        <w:spacing w:line="440" w:lineRule="atLeast"/>
        <w:jc w:val="center"/>
        <w:rPr>
          <w:rFonts w:ascii="华文中宋" w:hAnsi="华文中宋" w:eastAsia="华文中宋"/>
          <w:b/>
          <w:bCs/>
          <w:spacing w:val="-2"/>
          <w:sz w:val="44"/>
          <w:szCs w:val="44"/>
        </w:rPr>
      </w:pPr>
      <w:r>
        <w:rPr>
          <w:rFonts w:hint="eastAsia" w:ascii="华文中宋" w:hAnsi="华文中宋" w:eastAsia="华文中宋"/>
          <w:b/>
          <w:bCs/>
          <w:spacing w:val="-2"/>
          <w:sz w:val="44"/>
          <w:szCs w:val="44"/>
        </w:rPr>
        <w:t>资产评估专家指引第</w:t>
      </w:r>
      <w:r>
        <w:rPr>
          <w:rFonts w:ascii="华文中宋" w:hAnsi="华文中宋" w:eastAsia="华文中宋"/>
          <w:b/>
          <w:bCs/>
          <w:spacing w:val="-2"/>
          <w:sz w:val="44"/>
          <w:szCs w:val="44"/>
        </w:rPr>
        <w:t>4号</w:t>
      </w:r>
      <w:r>
        <w:rPr>
          <w:rFonts w:hint="eastAsia" w:ascii="华文中宋" w:hAnsi="华文中宋" w:eastAsia="华文中宋"/>
          <w:b/>
          <w:bCs/>
          <w:spacing w:val="-2"/>
          <w:sz w:val="44"/>
          <w:szCs w:val="44"/>
        </w:rPr>
        <w:t>——</w:t>
      </w:r>
      <w:r>
        <w:rPr>
          <w:rFonts w:ascii="华文中宋" w:hAnsi="华文中宋" w:eastAsia="华文中宋"/>
          <w:b/>
          <w:bCs/>
          <w:spacing w:val="-2"/>
          <w:sz w:val="44"/>
          <w:szCs w:val="44"/>
        </w:rPr>
        <w:t>金融企业</w:t>
      </w:r>
    </w:p>
    <w:p>
      <w:pPr>
        <w:spacing w:line="440" w:lineRule="atLeast"/>
        <w:jc w:val="center"/>
        <w:rPr>
          <w:rFonts w:ascii="华文中宋" w:hAnsi="华文中宋" w:eastAsia="华文中宋"/>
          <w:b/>
          <w:bCs/>
          <w:spacing w:val="-2"/>
          <w:sz w:val="44"/>
          <w:szCs w:val="44"/>
        </w:rPr>
      </w:pPr>
      <w:r>
        <w:rPr>
          <w:rFonts w:ascii="华文中宋" w:hAnsi="华文中宋" w:eastAsia="华文中宋"/>
          <w:b/>
          <w:bCs/>
          <w:spacing w:val="-2"/>
          <w:sz w:val="44"/>
          <w:szCs w:val="44"/>
        </w:rPr>
        <w:t>市场法评估模型与参数确定</w:t>
      </w:r>
    </w:p>
    <w:p>
      <w:pPr>
        <w:spacing w:line="440" w:lineRule="atLeast"/>
        <w:ind w:firstLine="873" w:firstLineChars="200"/>
        <w:rPr>
          <w:rFonts w:ascii="华文中宋" w:hAnsi="华文中宋" w:eastAsia="华文中宋"/>
          <w:b/>
          <w:bCs/>
          <w:spacing w:val="-2"/>
          <w:sz w:val="44"/>
          <w:szCs w:val="44"/>
        </w:rPr>
      </w:pPr>
    </w:p>
    <w:p>
      <w:pPr>
        <w:ind w:firstLine="664" w:firstLineChars="200"/>
        <w:rPr>
          <w:rFonts w:ascii="仿宋_GB2312"/>
          <w:sz w:val="32"/>
          <w:szCs w:val="32"/>
        </w:rPr>
      </w:pPr>
      <w:r>
        <w:rPr>
          <w:rFonts w:hint="eastAsia" w:ascii="仿宋_GB2312"/>
          <w:sz w:val="32"/>
          <w:szCs w:val="32"/>
        </w:rPr>
        <w:t>本专家指引是一种专家建议。评估机构执行资产评估业务，可以参照本专家指引，也可以根据具体情况采用其他适当的做法。中国资产评估协会将根据业务发展，对本专家指引进行更新。</w:t>
      </w:r>
    </w:p>
    <w:p>
      <w:pPr>
        <w:spacing w:line="600" w:lineRule="exact"/>
        <w:ind w:firstLine="632" w:firstLineChars="200"/>
        <w:rPr>
          <w:rFonts w:ascii="仿宋_GB2312" w:hAnsi="Times New Roman"/>
          <w:spacing w:val="-2"/>
          <w:sz w:val="32"/>
          <w:szCs w:val="32"/>
        </w:rPr>
      </w:pPr>
      <w:r>
        <w:rPr>
          <w:rFonts w:hint="eastAsia" w:ascii="仿宋_GB2312" w:hAnsi="仿宋"/>
          <w:spacing w:val="-2"/>
          <w:sz w:val="32"/>
          <w:szCs w:val="32"/>
        </w:rPr>
        <w:t>第一条 为了指导市场法评估金融企业的执业行为，合理选择市场法的评估模型、确定评估参数，提高执业质量，依据资产评估相关准则，中国资产评估协会组织制定了本专家指引。</w:t>
      </w:r>
    </w:p>
    <w:p>
      <w:pPr>
        <w:widowControl/>
        <w:ind w:firstLine="632" w:firstLineChars="200"/>
        <w:jc w:val="left"/>
      </w:pPr>
      <w:r>
        <w:rPr>
          <w:rFonts w:hint="eastAsia" w:ascii="仿宋_GB2312" w:hAnsi="仿宋"/>
          <w:spacing w:val="-2"/>
          <w:sz w:val="32"/>
          <w:szCs w:val="32"/>
        </w:rPr>
        <w:t xml:space="preserve">第二条 在使用市场法评估金融企业时，常用的两种具体方法是上市公司比较法和交易案例比较法。 </w:t>
      </w:r>
    </w:p>
    <w:p>
      <w:pPr>
        <w:spacing w:line="600" w:lineRule="exact"/>
        <w:ind w:firstLine="632" w:firstLineChars="200"/>
        <w:rPr>
          <w:rFonts w:ascii="仿宋_GB2312" w:hAnsi="Times New Roman"/>
          <w:spacing w:val="-2"/>
          <w:sz w:val="32"/>
          <w:szCs w:val="32"/>
        </w:rPr>
      </w:pPr>
      <w:r>
        <w:rPr>
          <w:rFonts w:hint="eastAsia" w:ascii="仿宋_GB2312" w:hAnsi="Times New Roman"/>
          <w:spacing w:val="-2"/>
          <w:sz w:val="32"/>
          <w:szCs w:val="32"/>
        </w:rPr>
        <w:t>第三条 在使用市场法评估金融企业时，应关注宏观系统性经济因素，如：广义货币（M2）、市场利率、汇率等对金融企业市场交易价格的影响。</w:t>
      </w:r>
    </w:p>
    <w:p>
      <w:pPr>
        <w:spacing w:line="360" w:lineRule="auto"/>
        <w:ind w:firstLine="664" w:firstLineChars="200"/>
        <w:rPr>
          <w:rFonts w:ascii="仿宋_GB2312" w:hAnsi="仿宋"/>
          <w:sz w:val="32"/>
          <w:szCs w:val="32"/>
        </w:rPr>
      </w:pPr>
      <w:r>
        <w:rPr>
          <w:rFonts w:hint="eastAsia" w:ascii="仿宋_GB2312" w:hAnsi="仿宋"/>
          <w:sz w:val="32"/>
          <w:szCs w:val="32"/>
        </w:rPr>
        <w:t>第四条 运用市场法评估金融企业，涉及对资本市场的选择时，应首选与评估对象注册地处于相同国家、地区的市场，如确需选择不同国家、地区的资本市场，应考虑对其差异进行修正。</w:t>
      </w:r>
    </w:p>
    <w:p>
      <w:pPr>
        <w:spacing w:line="360" w:lineRule="auto"/>
        <w:ind w:firstLine="664" w:firstLineChars="200"/>
        <w:rPr>
          <w:rFonts w:ascii="仿宋_GB2312" w:hAnsi="仿宋"/>
          <w:sz w:val="32"/>
          <w:szCs w:val="32"/>
        </w:rPr>
      </w:pPr>
      <w:r>
        <w:rPr>
          <w:rFonts w:hint="eastAsia" w:ascii="仿宋_GB2312" w:hAnsi="仿宋"/>
          <w:sz w:val="32"/>
          <w:szCs w:val="32"/>
        </w:rPr>
        <w:t>第五条 采用上市公司比较法选择可比上市公司时，应慎选如下上市公司：</w:t>
      </w:r>
    </w:p>
    <w:p>
      <w:pPr>
        <w:spacing w:line="360" w:lineRule="auto"/>
        <w:ind w:firstLine="664" w:firstLineChars="200"/>
        <w:rPr>
          <w:rFonts w:ascii="仿宋_GB2312" w:hAnsi="仿宋"/>
          <w:sz w:val="32"/>
          <w:szCs w:val="32"/>
        </w:rPr>
      </w:pPr>
      <w:r>
        <w:rPr>
          <w:rFonts w:hint="eastAsia" w:ascii="仿宋_GB2312" w:hAnsi="仿宋"/>
          <w:sz w:val="32"/>
          <w:szCs w:val="32"/>
        </w:rPr>
        <w:t>1.近期发生有重大并购重组行为，导致公司股权结构、业务结构、未来盈利状况、行业类别等发生重大改变的公司；</w:t>
      </w:r>
    </w:p>
    <w:p>
      <w:pPr>
        <w:spacing w:line="360" w:lineRule="auto"/>
        <w:ind w:firstLine="664" w:firstLineChars="200"/>
        <w:rPr>
          <w:rFonts w:ascii="仿宋_GB2312" w:hAnsi="仿宋"/>
          <w:sz w:val="32"/>
          <w:szCs w:val="32"/>
        </w:rPr>
      </w:pPr>
      <w:r>
        <w:rPr>
          <w:rFonts w:hint="eastAsia" w:ascii="仿宋_GB2312" w:hAnsi="仿宋"/>
          <w:sz w:val="32"/>
          <w:szCs w:val="32"/>
        </w:rPr>
        <w:t>2.新上市公司；</w:t>
      </w:r>
    </w:p>
    <w:p>
      <w:pPr>
        <w:spacing w:line="360" w:lineRule="auto"/>
        <w:ind w:firstLine="664" w:firstLineChars="200"/>
        <w:rPr>
          <w:rFonts w:ascii="仿宋_GB2312" w:hAnsi="仿宋"/>
          <w:sz w:val="32"/>
          <w:szCs w:val="32"/>
        </w:rPr>
      </w:pPr>
      <w:r>
        <w:rPr>
          <w:rFonts w:hint="eastAsia" w:ascii="仿宋_GB2312" w:hAnsi="仿宋"/>
          <w:sz w:val="32"/>
          <w:szCs w:val="32"/>
        </w:rPr>
        <w:t>3.近期股价异常波动的公司；</w:t>
      </w:r>
    </w:p>
    <w:p>
      <w:pPr>
        <w:spacing w:line="360" w:lineRule="auto"/>
        <w:ind w:firstLine="664" w:firstLineChars="200"/>
        <w:rPr>
          <w:rFonts w:ascii="仿宋_GB2312" w:hAnsi="仿宋"/>
          <w:sz w:val="32"/>
          <w:szCs w:val="32"/>
        </w:rPr>
      </w:pPr>
      <w:r>
        <w:rPr>
          <w:rFonts w:hint="eastAsia" w:ascii="仿宋_GB2312" w:hAnsi="仿宋"/>
          <w:sz w:val="32"/>
          <w:szCs w:val="32"/>
        </w:rPr>
        <w:t>4.近期发生严重亏损的公司；</w:t>
      </w:r>
    </w:p>
    <w:p>
      <w:pPr>
        <w:spacing w:line="360" w:lineRule="auto"/>
        <w:ind w:firstLine="664" w:firstLineChars="200"/>
        <w:rPr>
          <w:rFonts w:ascii="仿宋_GB2312" w:hAnsi="仿宋"/>
          <w:sz w:val="32"/>
          <w:szCs w:val="32"/>
        </w:rPr>
      </w:pPr>
      <w:r>
        <w:rPr>
          <w:rFonts w:hint="eastAsia" w:ascii="仿宋_GB2312" w:hAnsi="仿宋"/>
          <w:sz w:val="32"/>
          <w:szCs w:val="32"/>
        </w:rPr>
        <w:t>5.近期出现有暂停交易，或因累计涨、跌幅限制而导致临时盘中终止交易的公司。</w:t>
      </w:r>
    </w:p>
    <w:p>
      <w:pPr>
        <w:spacing w:line="360" w:lineRule="auto"/>
        <w:ind w:firstLine="664" w:firstLineChars="200"/>
        <w:rPr>
          <w:rFonts w:ascii="仿宋_GB2312" w:hAnsi="仿宋"/>
          <w:sz w:val="32"/>
          <w:szCs w:val="32"/>
        </w:rPr>
      </w:pPr>
      <w:r>
        <w:rPr>
          <w:rFonts w:hint="eastAsia" w:ascii="仿宋_GB2312" w:hAnsi="仿宋"/>
          <w:sz w:val="32"/>
          <w:szCs w:val="32"/>
        </w:rPr>
        <w:t>运用交易案例比较法时，交易案例的交易行为应为公开市场上的正常交易。</w:t>
      </w:r>
    </w:p>
    <w:p>
      <w:pPr>
        <w:spacing w:line="360" w:lineRule="auto"/>
        <w:ind w:firstLine="632" w:firstLineChars="200"/>
        <w:rPr>
          <w:rFonts w:ascii="仿宋_GB2312" w:hAnsi="仿宋"/>
          <w:spacing w:val="-2"/>
          <w:sz w:val="32"/>
          <w:szCs w:val="32"/>
        </w:rPr>
      </w:pPr>
      <w:r>
        <w:rPr>
          <w:rFonts w:hint="eastAsia" w:ascii="仿宋_GB2312" w:hAnsi="仿宋"/>
          <w:spacing w:val="-2"/>
          <w:sz w:val="32"/>
          <w:szCs w:val="32"/>
        </w:rPr>
        <w:t>第六条 选取可比公司时，应关注可比公司与评估对象的可比性。这种可比性通常体现在</w:t>
      </w:r>
      <w:r>
        <w:rPr>
          <w:rFonts w:hint="eastAsia" w:ascii="仿宋_GB2312" w:hAnsi="仿宋"/>
          <w:sz w:val="32"/>
          <w:szCs w:val="32"/>
        </w:rPr>
        <w:t>行业、</w:t>
      </w:r>
      <w:r>
        <w:rPr>
          <w:rFonts w:hint="eastAsia" w:ascii="仿宋_GB2312" w:hAnsi="仿宋"/>
          <w:spacing w:val="-2"/>
          <w:sz w:val="32"/>
          <w:szCs w:val="32"/>
        </w:rPr>
        <w:t>企业规模、业务结构、经营及盈利模式、盈利状况、资产配置和使用情况、企业所处经营阶段、经营风险、财务风险等方面。</w:t>
      </w:r>
    </w:p>
    <w:p>
      <w:pPr>
        <w:spacing w:line="360" w:lineRule="auto"/>
        <w:ind w:firstLine="632" w:firstLineChars="200"/>
        <w:rPr>
          <w:rFonts w:ascii="仿宋_GB2312" w:hAnsi="仿宋"/>
          <w:spacing w:val="-2"/>
          <w:sz w:val="32"/>
          <w:szCs w:val="32"/>
        </w:rPr>
      </w:pPr>
      <w:r>
        <w:rPr>
          <w:rFonts w:hint="eastAsia" w:ascii="仿宋_GB2312" w:hAnsi="Times New Roman"/>
          <w:spacing w:val="-2"/>
          <w:sz w:val="32"/>
          <w:szCs w:val="32"/>
        </w:rPr>
        <w:t>第七条 金融企业市场法评估参数的选取应突出行业及评估对象的特点，从盈利、资产、收入、风险、行业监管等角度，选择有利于合理确定评估对象价值的因素。</w:t>
      </w:r>
      <w:r>
        <w:rPr>
          <w:rFonts w:hint="eastAsia" w:ascii="仿宋_GB2312" w:hAnsi="仿宋"/>
          <w:spacing w:val="-2"/>
          <w:sz w:val="32"/>
          <w:szCs w:val="32"/>
        </w:rPr>
        <w:t>可比公司与评估对象的数据口径及计算方法、交易方式、交易条件、交易时间等交易因素应一致，存在差异的应进行相应的调整。</w:t>
      </w:r>
    </w:p>
    <w:p>
      <w:pPr>
        <w:spacing w:line="360" w:lineRule="auto"/>
        <w:ind w:firstLine="632" w:firstLineChars="200"/>
        <w:rPr>
          <w:rFonts w:ascii="仿宋_GB2312" w:hAnsi="Times New Roman"/>
          <w:spacing w:val="-2"/>
          <w:sz w:val="32"/>
          <w:szCs w:val="32"/>
        </w:rPr>
      </w:pPr>
      <w:r>
        <w:rPr>
          <w:rFonts w:hint="eastAsia" w:ascii="仿宋_GB2312" w:hAnsi="仿宋"/>
          <w:spacing w:val="-2"/>
          <w:sz w:val="32"/>
          <w:szCs w:val="32"/>
        </w:rPr>
        <w:t>第八条 采用市场法评估金融企业时，在样本数量充足且</w:t>
      </w:r>
      <w:r>
        <w:rPr>
          <w:rFonts w:hint="eastAsia" w:ascii="仿宋_GB2312" w:hAnsi="Times New Roman"/>
          <w:spacing w:val="-2"/>
          <w:sz w:val="32"/>
          <w:szCs w:val="32"/>
        </w:rPr>
        <w:t>满足统计分析要求</w:t>
      </w:r>
      <w:r>
        <w:rPr>
          <w:rFonts w:hint="eastAsia" w:ascii="仿宋_GB2312" w:hAnsi="仿宋"/>
          <w:spacing w:val="-2"/>
          <w:sz w:val="32"/>
          <w:szCs w:val="32"/>
        </w:rPr>
        <w:t>的前提下，可以使用统计分析方法，以减少主观因素对价值比率乘数选取及其对评估结论的影响，</w:t>
      </w:r>
      <w:r>
        <w:rPr>
          <w:rFonts w:hint="eastAsia" w:ascii="仿宋_GB2312" w:hAnsi="Times New Roman"/>
          <w:spacing w:val="-2"/>
          <w:sz w:val="32"/>
          <w:szCs w:val="32"/>
        </w:rPr>
        <w:t>提高评估结论的客观性。</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第九条 运用</w:t>
      </w:r>
      <w:r>
        <w:rPr>
          <w:rFonts w:hint="eastAsia" w:ascii="仿宋_GB2312" w:hAnsi="仿宋"/>
          <w:spacing w:val="-2"/>
          <w:sz w:val="32"/>
          <w:szCs w:val="32"/>
        </w:rPr>
        <w:t>统计分析方法</w:t>
      </w:r>
      <w:r>
        <w:rPr>
          <w:rFonts w:hint="eastAsia" w:ascii="仿宋_GB2312" w:hAnsi="Times New Roman"/>
          <w:spacing w:val="-2"/>
          <w:sz w:val="32"/>
          <w:szCs w:val="32"/>
        </w:rPr>
        <w:t>评估金融企业价值时，通常包括单因素模型和多因素模型。单因素模型是指运用与企业价值高度相关或者显著相关的某个单一参数，通过计算市场参照物的市场价值与该参数的比例关系，得到某个价值比率乘数，将评估对象的相关参数与该价值比率乘数相乘得到评估对象价值的评估模型。多因素模型是指在金融企业存在多个价值影响因素的情况下，所构建的反映金融企业价值与多个影响因素之间关系的回归模型。</w:t>
      </w:r>
    </w:p>
    <w:p>
      <w:pPr>
        <w:spacing w:line="360" w:lineRule="auto"/>
        <w:ind w:firstLine="632" w:firstLineChars="200"/>
        <w:rPr>
          <w:rFonts w:ascii="仿宋_GB2312" w:hAnsi="仿宋"/>
          <w:sz w:val="32"/>
          <w:szCs w:val="32"/>
        </w:rPr>
      </w:pPr>
      <w:r>
        <w:rPr>
          <w:rFonts w:hint="eastAsia" w:ascii="仿宋_GB2312" w:hAnsi="Times New Roman"/>
          <w:spacing w:val="-2"/>
          <w:sz w:val="32"/>
          <w:szCs w:val="32"/>
        </w:rPr>
        <w:t xml:space="preserve">第十条 </w:t>
      </w:r>
      <w:r>
        <w:rPr>
          <w:rFonts w:hint="eastAsia" w:ascii="仿宋_GB2312" w:hAnsi="仿宋"/>
          <w:sz w:val="32"/>
          <w:szCs w:val="32"/>
        </w:rPr>
        <w:t>因金融企业收入构成与其他企业不同，</w:t>
      </w:r>
      <w:r>
        <w:rPr>
          <w:rFonts w:hint="eastAsia" w:ascii="仿宋_GB2312" w:hAnsi="Times New Roman"/>
          <w:spacing w:val="-2"/>
          <w:sz w:val="32"/>
          <w:szCs w:val="32"/>
        </w:rPr>
        <w:t>市销率较少被使用，目前单因素模型评估金融企业价值多采用市盈率、市净率指标。也可根据评估对象特点选取适用于金融企业的其他特殊价值比率乘数</w:t>
      </w:r>
      <w:r>
        <w:rPr>
          <w:rFonts w:hint="eastAsia" w:ascii="仿宋_GB2312" w:hAnsi="仿宋"/>
          <w:sz w:val="32"/>
          <w:szCs w:val="32"/>
        </w:rPr>
        <w:t>。</w:t>
      </w:r>
    </w:p>
    <w:p>
      <w:pPr>
        <w:spacing w:line="360" w:lineRule="auto"/>
        <w:ind w:firstLine="671" w:firstLineChars="202"/>
        <w:rPr>
          <w:rFonts w:ascii="仿宋_GB2312" w:hAnsi="仿宋"/>
          <w:sz w:val="32"/>
          <w:szCs w:val="32"/>
        </w:rPr>
      </w:pPr>
      <w:r>
        <w:rPr>
          <w:rFonts w:hint="eastAsia" w:ascii="仿宋_GB2312" w:hAnsi="仿宋"/>
          <w:sz w:val="32"/>
          <w:szCs w:val="32"/>
        </w:rPr>
        <w:t>如果难以直观判断影响企业价值的主要因素，可以借助统计分析方法，分析企业价值与影响企业价值的潜在因素之间是否存在相关关系。</w:t>
      </w:r>
    </w:p>
    <w:p>
      <w:pPr>
        <w:spacing w:line="360" w:lineRule="auto"/>
        <w:ind w:firstLine="671" w:firstLineChars="202"/>
        <w:rPr>
          <w:rFonts w:ascii="仿宋_GB2312" w:hAnsi="仿宋"/>
          <w:sz w:val="32"/>
          <w:szCs w:val="32"/>
        </w:rPr>
      </w:pPr>
      <w:r>
        <w:rPr>
          <w:rFonts w:hint="eastAsia" w:ascii="仿宋_GB2312" w:hAnsi="仿宋"/>
          <w:sz w:val="32"/>
          <w:szCs w:val="32"/>
        </w:rPr>
        <w:t>第十一条 某些类型金融企业的价值可能不仅与利润、净资产相关，还同时存在影响企业价值的其他参数。如果影响企业价值的重要相关因素并不唯一，建议采用多因素模型。</w:t>
      </w:r>
    </w:p>
    <w:p>
      <w:pPr>
        <w:spacing w:line="360" w:lineRule="auto"/>
        <w:ind w:firstLine="638" w:firstLineChars="202"/>
        <w:rPr>
          <w:rFonts w:ascii="仿宋_GB2312" w:hAnsi="Times New Roman"/>
          <w:spacing w:val="-2"/>
          <w:sz w:val="32"/>
          <w:szCs w:val="32"/>
        </w:rPr>
      </w:pPr>
      <w:r>
        <w:rPr>
          <w:rFonts w:hint="eastAsia" w:ascii="仿宋_GB2312" w:hAnsi="Times New Roman"/>
          <w:spacing w:val="-2"/>
          <w:sz w:val="32"/>
          <w:szCs w:val="32"/>
        </w:rPr>
        <w:t>第十二条 运用统计分析方法进行相关性分析的步骤通常是：</w:t>
      </w:r>
    </w:p>
    <w:p>
      <w:pPr>
        <w:pStyle w:val="27"/>
        <w:spacing w:line="360" w:lineRule="auto"/>
        <w:ind w:left="590" w:firstLine="0" w:firstLineChars="0"/>
        <w:rPr>
          <w:rFonts w:ascii="仿宋_GB2312" w:hAnsi="仿宋"/>
          <w:sz w:val="32"/>
          <w:szCs w:val="32"/>
        </w:rPr>
      </w:pPr>
      <w:r>
        <w:rPr>
          <w:rFonts w:hint="eastAsia" w:ascii="仿宋_GB2312" w:hAnsi="仿宋"/>
          <w:sz w:val="32"/>
          <w:szCs w:val="32"/>
        </w:rPr>
        <w:t>1.选择并确定样本公司；</w:t>
      </w:r>
    </w:p>
    <w:p>
      <w:pPr>
        <w:pStyle w:val="27"/>
        <w:spacing w:line="360" w:lineRule="auto"/>
        <w:ind w:left="590" w:firstLine="0" w:firstLineChars="0"/>
        <w:rPr>
          <w:rFonts w:ascii="仿宋_GB2312" w:hAnsi="仿宋"/>
          <w:sz w:val="32"/>
          <w:szCs w:val="32"/>
        </w:rPr>
      </w:pPr>
      <w:r>
        <w:rPr>
          <w:rFonts w:hint="eastAsia" w:ascii="仿宋_GB2312" w:hAnsi="仿宋"/>
          <w:sz w:val="32"/>
          <w:szCs w:val="32"/>
        </w:rPr>
        <w:t>2.初步确定可能会影响企业价值的参数；</w:t>
      </w:r>
    </w:p>
    <w:p>
      <w:pPr>
        <w:pStyle w:val="27"/>
        <w:spacing w:line="360" w:lineRule="auto"/>
        <w:ind w:left="590" w:firstLine="0" w:firstLineChars="0"/>
        <w:rPr>
          <w:rFonts w:ascii="仿宋_GB2312" w:hAnsi="仿宋"/>
          <w:sz w:val="32"/>
          <w:szCs w:val="32"/>
        </w:rPr>
      </w:pPr>
      <w:r>
        <w:rPr>
          <w:rFonts w:hint="eastAsia" w:ascii="仿宋_GB2312" w:hAnsi="仿宋"/>
          <w:sz w:val="32"/>
          <w:szCs w:val="32"/>
        </w:rPr>
        <w:t>3.运用统计分析手段量化企业价值与所选参数之间的相关程度；</w:t>
      </w:r>
    </w:p>
    <w:p>
      <w:pPr>
        <w:pStyle w:val="27"/>
        <w:spacing w:line="360" w:lineRule="auto"/>
        <w:ind w:left="590" w:firstLine="0" w:firstLineChars="0"/>
        <w:rPr>
          <w:rFonts w:ascii="仿宋_GB2312" w:hAnsi="仿宋"/>
          <w:sz w:val="32"/>
          <w:szCs w:val="32"/>
        </w:rPr>
      </w:pPr>
      <w:r>
        <w:rPr>
          <w:rFonts w:hint="eastAsia" w:ascii="仿宋_GB2312" w:hAnsi="仿宋"/>
          <w:sz w:val="32"/>
          <w:szCs w:val="32"/>
        </w:rPr>
        <w:t>4.根据相关性分析结果确定评估所采用的具体参数。</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第十三条 影响不同类型金融企业价值的参数不尽相同。本专家指引建议，对不同类型金融企业所应关注的价值影响参数包括但不限于：</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1.商业银行</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净资产、利润、拨备覆盖率、利润增长率、净资产平均增长率、净利润平均增长率、资本保值增值率、净息差、净利差、资本利润率、加权平均净资产收益率、单一最大客户贷款比例、最大十家客户贷款比例、成本收入比、存贷款比例、资本充足率、核心资本充足率、资产利润率、资产流动性比例、总资产、不良贷款率、核心资本、营业网点数量、排名等。</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2.保险公司</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净资产、利润、收入利润率、支出利润率、总资产、净资产收益率、利润增长率、实际资本、综合成本率（产险业务）、综合赔付率（产险业务）、资本保值增值率、净利润平均增长率、净资产平均增长率、净投资收益率、总资产报酬率、总投资收益率、应收账款比率、退保率（寿险业务）、偿付能力充足率、保险渠道销售代理网点数量等。</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3.证券公司</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净资产、利润、利润增长率、资本保值增值率、净资本与净资产比率、资产利润率、加权平均净资产收益率、总资产、净资本、支出利润率、净资本与风险准备比率、收入利润率、净资产平均增长率、净资本负债率、净资产负债率、资产负债率、净利润平均增长率、营业部家数、证监会评级等。</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4.其他金融企业</w:t>
      </w:r>
    </w:p>
    <w:p>
      <w:pPr>
        <w:spacing w:line="360" w:lineRule="auto"/>
        <w:ind w:firstLine="632" w:firstLineChars="200"/>
        <w:rPr>
          <w:rFonts w:ascii="仿宋_GB2312" w:hAnsi="仿宋"/>
          <w:sz w:val="32"/>
          <w:szCs w:val="32"/>
        </w:rPr>
      </w:pPr>
      <w:r>
        <w:rPr>
          <w:rFonts w:hint="eastAsia" w:ascii="仿宋_GB2312" w:hAnsi="Times New Roman"/>
          <w:spacing w:val="-2"/>
          <w:sz w:val="32"/>
          <w:szCs w:val="32"/>
        </w:rPr>
        <w:t>其他金融企业包括信托、期货、基金、担保、金融租赁公司等。</w:t>
      </w:r>
      <w:r>
        <w:rPr>
          <w:rFonts w:hint="eastAsia" w:ascii="仿宋_GB2312" w:hAnsi="仿宋"/>
          <w:sz w:val="32"/>
          <w:szCs w:val="32"/>
        </w:rPr>
        <w:t>建议关注相关企业的规模、盈利能力、经营增长状况、资产质量状况、偿付能力、风险控制能力、经营管理能力等因素，以及其他常用行业价值比率指标，如</w:t>
      </w:r>
      <w:r>
        <w:rPr>
          <w:rFonts w:hint="eastAsia" w:cs="方正小标宋简体"/>
          <w:kern w:val="0"/>
          <w:sz w:val="32"/>
          <w:szCs w:val="32"/>
          <w:lang w:val="zh-TW" w:eastAsia="zh-TW"/>
        </w:rPr>
        <w:t>P</w:t>
      </w:r>
      <w:r>
        <w:rPr>
          <w:rFonts w:cs="方正小标宋简体"/>
          <w:kern w:val="0"/>
          <w:sz w:val="32"/>
          <w:szCs w:val="32"/>
          <w:lang w:val="zh-TW" w:eastAsia="zh-TW"/>
        </w:rPr>
        <w:t>/AUM</w:t>
      </w:r>
      <w:r>
        <w:rPr>
          <w:rFonts w:hint="eastAsia" w:cs="方正小标宋简体"/>
          <w:kern w:val="0"/>
          <w:sz w:val="32"/>
          <w:szCs w:val="32"/>
          <w:lang w:val="zh-TW"/>
        </w:rPr>
        <w:t>等</w:t>
      </w:r>
      <w:r>
        <w:rPr>
          <w:rFonts w:hint="eastAsia" w:ascii="仿宋_GB2312" w:hAnsi="仿宋"/>
          <w:sz w:val="32"/>
          <w:szCs w:val="32"/>
        </w:rPr>
        <w:t>。</w:t>
      </w:r>
    </w:p>
    <w:p>
      <w:pPr>
        <w:spacing w:line="360" w:lineRule="auto"/>
        <w:ind w:firstLine="671" w:firstLineChars="202"/>
        <w:rPr>
          <w:rFonts w:ascii="仿宋_GB2312" w:hAnsi="仿宋"/>
          <w:sz w:val="32"/>
          <w:szCs w:val="32"/>
        </w:rPr>
      </w:pPr>
      <w:r>
        <w:rPr>
          <w:rFonts w:hint="eastAsia" w:ascii="仿宋_GB2312" w:hAnsi="仿宋"/>
          <w:sz w:val="32"/>
          <w:szCs w:val="32"/>
        </w:rPr>
        <w:t xml:space="preserve">第十四条 </w:t>
      </w:r>
      <w:r>
        <w:rPr>
          <w:rFonts w:hint="eastAsia" w:ascii="仿宋_GB2312" w:hAnsi="Times New Roman"/>
          <w:spacing w:val="-2"/>
          <w:sz w:val="32"/>
          <w:szCs w:val="32"/>
        </w:rPr>
        <w:t>运用</w:t>
      </w:r>
      <w:r>
        <w:rPr>
          <w:rFonts w:hint="eastAsia" w:ascii="仿宋_GB2312" w:hAnsi="仿宋"/>
          <w:spacing w:val="-2"/>
          <w:sz w:val="32"/>
          <w:szCs w:val="32"/>
        </w:rPr>
        <w:t>统计分析方法</w:t>
      </w:r>
      <w:r>
        <w:rPr>
          <w:rFonts w:hint="eastAsia" w:ascii="仿宋_GB2312" w:hAnsi="Times New Roman"/>
          <w:spacing w:val="-2"/>
          <w:sz w:val="32"/>
          <w:szCs w:val="32"/>
        </w:rPr>
        <w:t>评估金融企业价值，需在分析参数相关性的基础上，</w:t>
      </w:r>
      <w:r>
        <w:rPr>
          <w:rFonts w:hint="eastAsia" w:ascii="仿宋_GB2312" w:cs="宋体"/>
          <w:kern w:val="0"/>
          <w:sz w:val="32"/>
          <w:szCs w:val="32"/>
        </w:rPr>
        <w:t>利用回归方法</w:t>
      </w:r>
      <w:r>
        <w:rPr>
          <w:rFonts w:hint="eastAsia" w:ascii="仿宋_GB2312" w:hAnsi="Times New Roman"/>
          <w:spacing w:val="-2"/>
          <w:sz w:val="32"/>
          <w:szCs w:val="32"/>
        </w:rPr>
        <w:t>量化</w:t>
      </w:r>
      <w:r>
        <w:rPr>
          <w:rFonts w:hint="eastAsia" w:ascii="仿宋_GB2312" w:cs="宋体"/>
          <w:kern w:val="0"/>
          <w:sz w:val="32"/>
          <w:szCs w:val="32"/>
        </w:rPr>
        <w:t>相关参数与评估对象价值之间的关系</w:t>
      </w:r>
      <w:r>
        <w:rPr>
          <w:rFonts w:hint="eastAsia" w:ascii="仿宋_GB2312" w:hAnsi="Times New Roman"/>
          <w:spacing w:val="-2"/>
          <w:sz w:val="32"/>
          <w:szCs w:val="32"/>
        </w:rPr>
        <w:t>，并对由此构建的回归模型进行必要的精度检验。</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第十五条 运用上市公司比较法评估金融企业价值时，还</w:t>
      </w:r>
      <w:r>
        <w:rPr>
          <w:rFonts w:ascii="仿宋_GB2312" w:hAnsi="Times New Roman"/>
          <w:spacing w:val="-2"/>
          <w:sz w:val="32"/>
          <w:szCs w:val="32"/>
        </w:rPr>
        <w:t>应</w:t>
      </w:r>
      <w:r>
        <w:rPr>
          <w:rFonts w:hint="eastAsia" w:ascii="仿宋_GB2312" w:hAnsi="Times New Roman"/>
          <w:spacing w:val="-2"/>
          <w:sz w:val="32"/>
          <w:szCs w:val="32"/>
        </w:rPr>
        <w:t>关注可比公司与评估对象间流动性的差异，考虑缺少流动性折扣，并在适当及切实可行的情况下考虑由于具有控制权或者缺乏控制权可能产生的溢价或者折价。</w:t>
      </w:r>
    </w:p>
    <w:p>
      <w:pPr>
        <w:spacing w:line="360" w:lineRule="auto"/>
        <w:ind w:firstLine="632" w:firstLineChars="200"/>
        <w:rPr>
          <w:rFonts w:ascii="仿宋_GB2312" w:hAnsi="仿宋"/>
          <w:spacing w:val="-2"/>
          <w:sz w:val="32"/>
          <w:szCs w:val="32"/>
        </w:rPr>
      </w:pPr>
      <w:r>
        <w:rPr>
          <w:rFonts w:hint="eastAsia" w:ascii="仿宋_GB2312" w:hAnsi="Times New Roman"/>
          <w:spacing w:val="-2"/>
          <w:sz w:val="32"/>
          <w:szCs w:val="32"/>
        </w:rPr>
        <w:t>运用交易案例比较法评估金融企业价值时，应尽量选取与评估对象的控股权状态相同或相近的交易案例</w:t>
      </w:r>
      <w:r>
        <w:rPr>
          <w:rFonts w:hint="eastAsia" w:ascii="仿宋_GB2312"/>
          <w:sz w:val="32"/>
          <w:szCs w:val="32"/>
        </w:rPr>
        <w:t>。</w:t>
      </w:r>
    </w:p>
    <w:p>
      <w:pPr>
        <w:spacing w:line="360" w:lineRule="auto"/>
        <w:ind w:firstLine="664" w:firstLineChars="200"/>
        <w:rPr>
          <w:rFonts w:ascii="仿宋_GB2312" w:hAnsi="Times New Roman"/>
          <w:spacing w:val="-2"/>
          <w:sz w:val="32"/>
          <w:szCs w:val="32"/>
        </w:rPr>
      </w:pPr>
      <w:r>
        <w:rPr>
          <w:rFonts w:hint="eastAsia" w:ascii="仿宋_GB2312" w:hAnsi="仿宋"/>
          <w:sz w:val="32"/>
          <w:szCs w:val="32"/>
        </w:rPr>
        <w:t xml:space="preserve">第十六条 </w:t>
      </w:r>
      <w:r>
        <w:rPr>
          <w:rFonts w:hint="eastAsia" w:ascii="仿宋_GB2312" w:hAnsi="Times New Roman"/>
          <w:spacing w:val="-2"/>
          <w:sz w:val="32"/>
          <w:szCs w:val="32"/>
        </w:rPr>
        <w:t>资产评估师应当知晓，本专家指引所介绍的只是诸多评估方法的一种，意在为资产评估师解决价值比率乘数与评估结论的相关性及模型量化的客观性提供一种技术解决思路。对于样本数量不足或其他不适用于统计分析方法的情形，资产评估师应采用其他适用的方法。</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本专家指引及所附案例的分析、回归模型仅是诸多统计分析方法中可供选择的具体应用形式。资产评估师也可根据评估对象特点及统计方法的适用条件，选择其他方法。</w:t>
      </w:r>
    </w:p>
    <w:p>
      <w:pPr>
        <w:spacing w:line="360" w:lineRule="auto"/>
        <w:ind w:firstLine="632" w:firstLineChars="200"/>
        <w:rPr>
          <w:rFonts w:hint="eastAsia" w:ascii="仿宋_GB2312" w:hAnsi="Times New Roman"/>
          <w:spacing w:val="-2"/>
          <w:sz w:val="32"/>
          <w:szCs w:val="32"/>
        </w:rPr>
      </w:pPr>
      <w:r>
        <w:rPr>
          <w:rFonts w:hint="eastAsia" w:ascii="仿宋_GB2312" w:hAnsi="Times New Roman"/>
          <w:spacing w:val="-2"/>
          <w:sz w:val="32"/>
          <w:szCs w:val="32"/>
        </w:rPr>
        <w:t>附：金融企业市场法评估统计分析方法模型构建示例</w:t>
      </w:r>
    </w:p>
    <w:p>
      <w:pPr>
        <w:widowControl/>
        <w:adjustRightInd/>
        <w:snapToGrid/>
        <w:spacing w:line="240" w:lineRule="auto"/>
        <w:jc w:val="left"/>
        <w:rPr>
          <w:rFonts w:ascii="仿宋_GB2312" w:hAnsi="Times New Roman"/>
          <w:b/>
          <w:spacing w:val="-2"/>
          <w:sz w:val="32"/>
          <w:szCs w:val="32"/>
        </w:rPr>
      </w:pPr>
      <w:r>
        <w:rPr>
          <w:rFonts w:ascii="仿宋_GB2312" w:hAnsi="Times New Roman"/>
          <w:spacing w:val="-2"/>
          <w:sz w:val="32"/>
          <w:szCs w:val="32"/>
        </w:rPr>
        <w:br w:type="page"/>
      </w:r>
      <w:r>
        <w:rPr>
          <w:rFonts w:hint="eastAsia" w:ascii="仿宋_GB2312" w:hAnsi="Times New Roman"/>
          <w:b/>
          <w:spacing w:val="-2"/>
          <w:sz w:val="32"/>
          <w:szCs w:val="32"/>
        </w:rPr>
        <w:t>附：</w:t>
      </w:r>
    </w:p>
    <w:p>
      <w:pPr>
        <w:widowControl/>
        <w:adjustRightInd/>
        <w:snapToGrid/>
        <w:spacing w:line="240" w:lineRule="auto"/>
        <w:jc w:val="center"/>
        <w:rPr>
          <w:rFonts w:ascii="仿宋_GB2312" w:hAnsi="Times New Roman"/>
          <w:b/>
          <w:spacing w:val="-2"/>
          <w:sz w:val="32"/>
          <w:szCs w:val="32"/>
        </w:rPr>
      </w:pPr>
      <w:r>
        <w:rPr>
          <w:rFonts w:hint="eastAsia" w:ascii="仿宋_GB2312" w:hAnsi="Times New Roman"/>
          <w:b/>
          <w:spacing w:val="-2"/>
          <w:sz w:val="32"/>
          <w:szCs w:val="32"/>
        </w:rPr>
        <w:t>金融企业市场法评估统计分析方法模型构建示例</w:t>
      </w:r>
    </w:p>
    <w:p>
      <w:pPr>
        <w:widowControl/>
        <w:adjustRightInd/>
        <w:snapToGrid/>
        <w:spacing w:line="240" w:lineRule="auto"/>
        <w:jc w:val="center"/>
        <w:rPr>
          <w:rFonts w:ascii="仿宋_GB2312" w:hAnsi="Times New Roman"/>
          <w:b/>
          <w:spacing w:val="-2"/>
          <w:sz w:val="32"/>
          <w:szCs w:val="32"/>
        </w:rPr>
      </w:pPr>
    </w:p>
    <w:p>
      <w:pPr>
        <w:spacing w:line="360" w:lineRule="auto"/>
        <w:ind w:firstLine="632" w:firstLineChars="200"/>
        <w:rPr>
          <w:rFonts w:ascii="仿宋_GB2312" w:hAnsi="Times New Roman"/>
          <w:b/>
          <w:spacing w:val="-2"/>
          <w:sz w:val="32"/>
          <w:szCs w:val="32"/>
        </w:rPr>
      </w:pPr>
      <w:r>
        <w:rPr>
          <w:rFonts w:hint="eastAsia" w:ascii="仿宋_GB2312" w:hAnsi="Times New Roman"/>
          <w:spacing w:val="-2"/>
          <w:sz w:val="32"/>
          <w:szCs w:val="32"/>
        </w:rPr>
        <w:t>所附案例的结论仅反映撰写时点样本数据的特征，并非最终结论。资产评估师应当在评估实务中，根据实际情况选择样本，选取适用于具体评估业务所需的参数及模型。</w:t>
      </w:r>
    </w:p>
    <w:p>
      <w:pPr>
        <w:spacing w:line="360" w:lineRule="auto"/>
        <w:ind w:firstLine="667" w:firstLineChars="200"/>
        <w:rPr>
          <w:rFonts w:ascii="仿宋_GB2312" w:hAnsi="仿宋"/>
          <w:b/>
          <w:bCs/>
          <w:sz w:val="32"/>
          <w:szCs w:val="32"/>
        </w:rPr>
      </w:pPr>
      <w:r>
        <w:rPr>
          <w:rFonts w:hint="eastAsia" w:ascii="仿宋_GB2312" w:hAnsi="仿宋"/>
          <w:b/>
          <w:bCs/>
          <w:sz w:val="32"/>
          <w:szCs w:val="32"/>
        </w:rPr>
        <w:t>案例1：</w:t>
      </w:r>
    </w:p>
    <w:p>
      <w:pPr>
        <w:spacing w:line="360" w:lineRule="auto"/>
        <w:ind w:firstLine="667" w:firstLineChars="200"/>
        <w:jc w:val="center"/>
        <w:rPr>
          <w:rFonts w:ascii="仿宋_GB2312" w:hAnsi="仿宋"/>
          <w:b/>
          <w:bCs/>
          <w:sz w:val="32"/>
          <w:szCs w:val="32"/>
        </w:rPr>
      </w:pPr>
      <w:r>
        <w:rPr>
          <w:rFonts w:hint="eastAsia" w:ascii="仿宋_GB2312" w:hAnsi="仿宋"/>
          <w:b/>
          <w:bCs/>
          <w:sz w:val="32"/>
          <w:szCs w:val="32"/>
        </w:rPr>
        <w:t>证券公司企业价值市场法评估模型的构建（节选）</w:t>
      </w:r>
    </w:p>
    <w:p>
      <w:pPr>
        <w:spacing w:line="360" w:lineRule="auto"/>
        <w:ind w:firstLine="664" w:firstLineChars="200"/>
        <w:rPr>
          <w:rFonts w:ascii="仿宋_GB2312" w:hAnsi="仿宋"/>
          <w:sz w:val="32"/>
          <w:szCs w:val="32"/>
        </w:rPr>
      </w:pPr>
      <w:r>
        <w:rPr>
          <w:rFonts w:hint="eastAsia" w:ascii="仿宋_GB2312" w:hAnsi="仿宋"/>
          <w:sz w:val="32"/>
          <w:szCs w:val="32"/>
        </w:rPr>
        <w:t>1.各参数的相关性分析</w:t>
      </w:r>
    </w:p>
    <w:p>
      <w:pPr>
        <w:spacing w:line="360" w:lineRule="auto"/>
        <w:ind w:firstLine="664" w:firstLineChars="200"/>
        <w:rPr>
          <w:rFonts w:ascii="仿宋_GB2312" w:hAnsi="仿宋"/>
          <w:sz w:val="32"/>
          <w:szCs w:val="32"/>
        </w:rPr>
      </w:pPr>
      <w:r>
        <w:rPr>
          <w:rFonts w:hint="eastAsia" w:ascii="仿宋_GB2312" w:hAnsi="仿宋"/>
          <w:sz w:val="32"/>
          <w:szCs w:val="32"/>
        </w:rPr>
        <w:t>选用评估基准日沪、深两市若干证券公司的样本作为可比对象，选取19个可能与企业价值相关的参数，对可比对象每股单价与这19个参数进行相关性分析，筛选得到如下分析结果：</w:t>
      </w:r>
    </w:p>
    <w:p>
      <w:pPr>
        <w:spacing w:line="360" w:lineRule="auto"/>
        <w:jc w:val="center"/>
        <w:rPr>
          <w:rFonts w:ascii="仿宋_GB2312" w:hAnsi="仿宋"/>
          <w:sz w:val="32"/>
          <w:szCs w:val="32"/>
        </w:rPr>
      </w:pPr>
      <w:r>
        <w:rPr>
          <w:rFonts w:ascii="仿宋_GB2312" w:hAnsi="仿宋" w:eastAsia="仿宋_GB2312" w:cs="Times New Roman"/>
          <w:spacing w:val="6"/>
          <w:kern w:val="2"/>
          <w:sz w:val="32"/>
          <w:szCs w:val="32"/>
          <w:lang w:val="en-US" w:eastAsia="zh-CN" w:bidi="ar-SA"/>
        </w:rPr>
        <w:drawing>
          <wp:inline distT="0" distB="0" distL="114300" distR="114300">
            <wp:extent cx="3162300" cy="26860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lum/>
                    </a:blip>
                    <a:srcRect/>
                    <a:stretch>
                      <a:fillRect/>
                    </a:stretch>
                  </pic:blipFill>
                  <pic:spPr>
                    <a:xfrm>
                      <a:off x="0" y="0"/>
                      <a:ext cx="3162300" cy="2686050"/>
                    </a:xfrm>
                    <a:prstGeom prst="rect">
                      <a:avLst/>
                    </a:prstGeom>
                    <a:noFill/>
                    <a:ln w="9525">
                      <a:noFill/>
                      <a:miter/>
                    </a:ln>
                  </pic:spPr>
                </pic:pic>
              </a:graphicData>
            </a:graphic>
          </wp:inline>
        </w:drawing>
      </w:r>
    </w:p>
    <w:p>
      <w:pPr>
        <w:spacing w:line="360" w:lineRule="auto"/>
        <w:ind w:firstLine="671" w:firstLineChars="202"/>
        <w:rPr>
          <w:rFonts w:ascii="仿宋_GB2312" w:hAnsi="仿宋"/>
          <w:sz w:val="32"/>
          <w:szCs w:val="32"/>
        </w:rPr>
      </w:pPr>
      <w:r>
        <w:rPr>
          <w:rFonts w:hint="eastAsia" w:ascii="仿宋_GB2312" w:hAnsi="仿宋"/>
          <w:sz w:val="32"/>
          <w:szCs w:val="32"/>
        </w:rPr>
        <w:t>根据上述相关性分析结果，认为每股净资产与</w:t>
      </w:r>
      <w:r>
        <w:rPr>
          <w:rFonts w:hint="eastAsia" w:ascii="仿宋_GB2312" w:hAnsi="Times New Roman"/>
          <w:spacing w:val="-2"/>
          <w:sz w:val="32"/>
          <w:szCs w:val="32"/>
        </w:rPr>
        <w:t>股价</w:t>
      </w:r>
      <w:r>
        <w:rPr>
          <w:rFonts w:hint="eastAsia" w:ascii="仿宋_GB2312" w:hAnsi="仿宋"/>
          <w:sz w:val="32"/>
          <w:szCs w:val="32"/>
        </w:rPr>
        <w:t>显著相关，因此，评估中选用每股净资产作为单因素模型的指标。</w:t>
      </w:r>
    </w:p>
    <w:p>
      <w:pPr>
        <w:spacing w:line="360" w:lineRule="auto"/>
        <w:ind w:firstLine="505" w:firstLineChars="152"/>
        <w:rPr>
          <w:rFonts w:ascii="仿宋_GB2312" w:hAnsi="Times New Roman"/>
          <w:spacing w:val="-2"/>
          <w:sz w:val="32"/>
          <w:szCs w:val="32"/>
        </w:rPr>
      </w:pPr>
      <w:r>
        <w:rPr>
          <w:rFonts w:hint="eastAsia" w:ascii="仿宋_GB2312" w:hAnsi="仿宋"/>
          <w:sz w:val="32"/>
          <w:szCs w:val="32"/>
        </w:rPr>
        <w:t>2.构</w:t>
      </w:r>
      <w:r>
        <w:rPr>
          <w:rFonts w:hint="eastAsia" w:ascii="仿宋_GB2312" w:hAnsi="Times New Roman"/>
          <w:spacing w:val="-2"/>
          <w:sz w:val="32"/>
          <w:szCs w:val="32"/>
        </w:rPr>
        <w:t>建单因素模型</w:t>
      </w:r>
    </w:p>
    <w:p>
      <w:pPr>
        <w:spacing w:line="360" w:lineRule="auto"/>
        <w:ind w:firstLine="664" w:firstLineChars="200"/>
        <w:jc w:val="left"/>
        <w:rPr>
          <w:rFonts w:ascii="仿宋_GB2312" w:hAnsi="仿宋"/>
          <w:sz w:val="32"/>
          <w:szCs w:val="32"/>
        </w:rPr>
      </w:pPr>
      <w:r>
        <w:rPr>
          <w:rFonts w:hint="eastAsia" w:ascii="仿宋_GB2312" w:hAnsi="仿宋"/>
          <w:sz w:val="32"/>
          <w:szCs w:val="32"/>
        </w:rPr>
        <w:t>每股净资产</w:t>
      </w:r>
      <w:r>
        <w:rPr>
          <w:rFonts w:hint="eastAsia" w:ascii="仿宋_GB2312" w:hAnsi="Times New Roman"/>
          <w:spacing w:val="-2"/>
          <w:sz w:val="32"/>
          <w:szCs w:val="32"/>
        </w:rPr>
        <w:t>对股价影响的相关性可以下图表示</w:t>
      </w:r>
      <w:r>
        <w:rPr>
          <w:rFonts w:hint="eastAsia" w:ascii="仿宋_GB2312" w:hAnsi="仿宋"/>
          <w:sz w:val="32"/>
          <w:szCs w:val="32"/>
        </w:rPr>
        <w:t>：</w:t>
      </w:r>
      <w:r>
        <w:rPr>
          <w:rFonts w:ascii="仿宋_GB2312" w:hAnsi="仿宋"/>
          <w:sz w:val="32"/>
          <w:szCs w:val="32"/>
        </w:rPr>
        <w:t xml:space="preserve"> </w:t>
      </w:r>
    </w:p>
    <w:p>
      <w:pPr>
        <w:spacing w:line="360" w:lineRule="auto"/>
        <w:ind w:firstLine="486" w:firstLineChars="152"/>
        <w:jc w:val="left"/>
        <w:rPr>
          <w:rFonts w:ascii="仿宋_GB2312" w:hAnsi="Times New Roman"/>
          <w:spacing w:val="-2"/>
          <w:sz w:val="32"/>
          <w:szCs w:val="32"/>
        </w:rPr>
      </w:pPr>
      <w:r>
        <w:rPr>
          <w:rFonts w:ascii="仿宋_GB2312" w:hAnsi="Times New Roman" w:eastAsia="仿宋_GB2312" w:cs="Times New Roman"/>
          <w:spacing w:val="-2"/>
          <w:kern w:val="2"/>
          <w:sz w:val="32"/>
          <w:szCs w:val="32"/>
          <w:lang w:val="en-US" w:eastAsia="zh-CN" w:bidi="ar-SA"/>
        </w:rPr>
        <w:drawing>
          <wp:anchor distT="0" distB="0" distL="114300" distR="114300" simplePos="0" relativeHeight="251658240" behindDoc="1" locked="0" layoutInCell="1" allowOverlap="1">
            <wp:simplePos x="0" y="0"/>
            <wp:positionH relativeFrom="column">
              <wp:posOffset>-36195</wp:posOffset>
            </wp:positionH>
            <wp:positionV relativeFrom="paragraph">
              <wp:posOffset>53340</wp:posOffset>
            </wp:positionV>
            <wp:extent cx="2666365" cy="1997075"/>
            <wp:effectExtent l="0" t="0" r="635" b="317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7">
                      <a:lum/>
                    </a:blip>
                    <a:srcRect/>
                    <a:stretch>
                      <a:fillRect/>
                    </a:stretch>
                  </pic:blipFill>
                  <pic:spPr>
                    <a:xfrm>
                      <a:off x="0" y="0"/>
                      <a:ext cx="2666365" cy="1997075"/>
                    </a:xfrm>
                    <a:prstGeom prst="rect">
                      <a:avLst/>
                    </a:prstGeom>
                    <a:noFill/>
                    <a:ln w="9525">
                      <a:noFill/>
                      <a:miter/>
                    </a:ln>
                  </pic:spPr>
                </pic:pic>
              </a:graphicData>
            </a:graphic>
          </wp:anchor>
        </w:drawing>
      </w:r>
      <w:r>
        <w:rPr>
          <w:rFonts w:ascii="仿宋_GB2312" w:hAnsi="Times New Roman" w:eastAsia="仿宋_GB2312" w:cs="Times New Roman"/>
          <w:spacing w:val="-2"/>
          <w:kern w:val="2"/>
          <w:sz w:val="32"/>
          <w:szCs w:val="32"/>
          <w:lang w:val="en-US" w:eastAsia="zh-CN" w:bidi="ar-SA"/>
        </w:rPr>
        <w:drawing>
          <wp:anchor distT="0" distB="0" distL="114300" distR="114300" simplePos="0" relativeHeight="251664384" behindDoc="0" locked="0" layoutInCell="1" allowOverlap="1">
            <wp:simplePos x="0" y="0"/>
            <wp:positionH relativeFrom="column">
              <wp:posOffset>57785</wp:posOffset>
            </wp:positionH>
            <wp:positionV relativeFrom="paragraph">
              <wp:posOffset>53975</wp:posOffset>
            </wp:positionV>
            <wp:extent cx="2755900" cy="1996440"/>
            <wp:effectExtent l="0" t="0" r="6350" b="3810"/>
            <wp:wrapSquare wrapText="bothSides"/>
            <wp:docPr id="4" name="图片 7"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2.bmp"/>
                    <pic:cNvPicPr>
                      <a:picLocks noChangeAspect="1"/>
                    </pic:cNvPicPr>
                  </pic:nvPicPr>
                  <pic:blipFill>
                    <a:blip r:embed="rId8">
                      <a:lum/>
                    </a:blip>
                    <a:srcRect/>
                    <a:stretch>
                      <a:fillRect/>
                    </a:stretch>
                  </pic:blipFill>
                  <pic:spPr>
                    <a:xfrm>
                      <a:off x="0" y="0"/>
                      <a:ext cx="2755900" cy="1996440"/>
                    </a:xfrm>
                    <a:prstGeom prst="rect">
                      <a:avLst/>
                    </a:prstGeom>
                    <a:noFill/>
                    <a:ln w="9525">
                      <a:noFill/>
                      <a:miter/>
                    </a:ln>
                  </pic:spPr>
                </pic:pic>
              </a:graphicData>
            </a:graphic>
          </wp:anchor>
        </w:drawing>
      </w:r>
    </w:p>
    <w:p>
      <w:pPr>
        <w:spacing w:line="360" w:lineRule="auto"/>
        <w:ind w:firstLine="480" w:firstLineChars="152"/>
        <w:rPr>
          <w:rFonts w:ascii="仿宋_GB2312" w:hAnsi="Times New Roman"/>
          <w:spacing w:val="-2"/>
          <w:sz w:val="32"/>
          <w:szCs w:val="32"/>
        </w:rPr>
      </w:pPr>
    </w:p>
    <w:p>
      <w:pPr>
        <w:spacing w:line="360" w:lineRule="auto"/>
        <w:jc w:val="center"/>
        <w:rPr>
          <w:rFonts w:ascii="仿宋_GB2312" w:hAnsi="Times New Roman"/>
          <w:spacing w:val="-2"/>
          <w:sz w:val="32"/>
          <w:szCs w:val="32"/>
        </w:rPr>
      </w:pPr>
    </w:p>
    <w:p>
      <w:pPr>
        <w:spacing w:line="360" w:lineRule="auto"/>
        <w:jc w:val="center"/>
        <w:rPr>
          <w:rFonts w:ascii="仿宋_GB2312" w:hAnsi="Times New Roman"/>
          <w:b/>
          <w:spacing w:val="-2"/>
          <w:sz w:val="32"/>
          <w:szCs w:val="32"/>
        </w:rPr>
      </w:pPr>
    </w:p>
    <w:p>
      <w:pPr>
        <w:spacing w:line="360" w:lineRule="auto"/>
        <w:jc w:val="center"/>
        <w:rPr>
          <w:rFonts w:ascii="仿宋_GB2312" w:hAnsi="Times New Roman"/>
          <w:b/>
          <w:spacing w:val="-2"/>
          <w:sz w:val="32"/>
          <w:szCs w:val="32"/>
        </w:rPr>
      </w:pPr>
    </w:p>
    <w:p>
      <w:pPr>
        <w:spacing w:line="360" w:lineRule="auto"/>
        <w:ind w:firstLine="632" w:firstLineChars="200"/>
        <w:jc w:val="left"/>
        <w:rPr>
          <w:rFonts w:ascii="仿宋_GB2312" w:hAnsi="Times New Roman"/>
          <w:spacing w:val="-2"/>
          <w:sz w:val="32"/>
          <w:szCs w:val="32"/>
        </w:rPr>
      </w:pPr>
    </w:p>
    <w:p>
      <w:pPr>
        <w:spacing w:line="360" w:lineRule="auto"/>
        <w:ind w:firstLine="632" w:firstLineChars="200"/>
        <w:jc w:val="left"/>
        <w:rPr>
          <w:rFonts w:ascii="仿宋_GB2312" w:hAnsi="Times New Roman"/>
          <w:spacing w:val="-2"/>
          <w:sz w:val="32"/>
          <w:szCs w:val="32"/>
        </w:rPr>
      </w:pPr>
      <w:r>
        <w:rPr>
          <w:rFonts w:hint="eastAsia" w:ascii="仿宋_GB2312" w:hAnsi="Times New Roman"/>
          <w:spacing w:val="-2"/>
          <w:sz w:val="32"/>
          <w:szCs w:val="32"/>
        </w:rPr>
        <w:t>如上图所示，虽然每股净资产离散度较高，但与收盘价分布呈现较强相关性，</w:t>
      </w:r>
      <w:r>
        <w:rPr>
          <w:rFonts w:hint="eastAsia" w:ascii="仿宋_GB2312" w:hAnsi="仿宋"/>
          <w:sz w:val="32"/>
          <w:szCs w:val="32"/>
        </w:rPr>
        <w:t>因此评估选用每股净资产指标进行回归分析，运用SPSS统计分析软件所构</w:t>
      </w:r>
      <w:r>
        <w:rPr>
          <w:rFonts w:hint="eastAsia" w:ascii="仿宋_GB2312" w:hAnsi="Times New Roman"/>
          <w:spacing w:val="-2"/>
          <w:sz w:val="32"/>
          <w:szCs w:val="32"/>
        </w:rPr>
        <w:t>建的回归方程及相关检验结果如下：</w:t>
      </w:r>
    </w:p>
    <w:p>
      <w:pPr>
        <w:spacing w:line="360" w:lineRule="auto"/>
        <w:jc w:val="center"/>
        <w:rPr>
          <w:rFonts w:ascii="仿宋_GB2312" w:hAnsi="Times New Roman"/>
          <w:spacing w:val="-2"/>
          <w:sz w:val="32"/>
          <w:szCs w:val="32"/>
        </w:rPr>
      </w:pPr>
      <w:r>
        <w:rPr>
          <w:rFonts w:ascii="仿宋_GB2312" w:hAnsi="Times New Roman" w:eastAsia="仿宋_GB2312" w:cs="Times New Roman"/>
          <w:spacing w:val="-2"/>
          <w:kern w:val="2"/>
          <w:sz w:val="32"/>
          <w:szCs w:val="32"/>
          <w:lang w:val="en-US" w:eastAsia="zh-CN" w:bidi="ar-SA"/>
        </w:rPr>
        <w:drawing>
          <wp:inline distT="0" distB="0" distL="114300" distR="114300">
            <wp:extent cx="3314700" cy="733425"/>
            <wp:effectExtent l="0" t="0" r="0" b="9525"/>
            <wp:docPr id="6" name="图片 6" descr="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mp"/>
                    <pic:cNvPicPr>
                      <a:picLocks noChangeAspect="1"/>
                    </pic:cNvPicPr>
                  </pic:nvPicPr>
                  <pic:blipFill>
                    <a:blip r:embed="rId9">
                      <a:lum/>
                    </a:blip>
                    <a:srcRect/>
                    <a:stretch>
                      <a:fillRect/>
                    </a:stretch>
                  </pic:blipFill>
                  <pic:spPr>
                    <a:xfrm>
                      <a:off x="0" y="0"/>
                      <a:ext cx="3314700" cy="733425"/>
                    </a:xfrm>
                    <a:prstGeom prst="rect">
                      <a:avLst/>
                    </a:prstGeom>
                    <a:noFill/>
                    <a:ln w="9525">
                      <a:noFill/>
                      <a:miter/>
                    </a:ln>
                  </pic:spPr>
                </pic:pic>
              </a:graphicData>
            </a:graphic>
          </wp:inline>
        </w:drawing>
      </w:r>
    </w:p>
    <w:p>
      <w:pPr>
        <w:spacing w:line="360" w:lineRule="auto"/>
        <w:jc w:val="center"/>
        <w:rPr>
          <w:rFonts w:ascii="仿宋_GB2312" w:hAnsi="Times New Roman"/>
          <w:spacing w:val="-2"/>
          <w:sz w:val="32"/>
          <w:szCs w:val="32"/>
        </w:rPr>
      </w:pPr>
      <w:r>
        <w:rPr>
          <w:rFonts w:ascii="仿宋_GB2312" w:hAnsi="Times New Roman" w:eastAsia="仿宋_GB2312" w:cs="Times New Roman"/>
          <w:spacing w:val="-2"/>
          <w:kern w:val="2"/>
          <w:sz w:val="32"/>
          <w:szCs w:val="32"/>
          <w:lang w:val="en-US" w:eastAsia="zh-CN" w:bidi="ar-SA"/>
        </w:rPr>
        <w:drawing>
          <wp:inline distT="0" distB="0" distL="114300" distR="114300">
            <wp:extent cx="3886200" cy="7239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lum/>
                    </a:blip>
                    <a:srcRect r="22598"/>
                    <a:stretch>
                      <a:fillRect/>
                    </a:stretch>
                  </pic:blipFill>
                  <pic:spPr>
                    <a:xfrm>
                      <a:off x="0" y="0"/>
                      <a:ext cx="3886200" cy="723900"/>
                    </a:xfrm>
                    <a:prstGeom prst="rect">
                      <a:avLst/>
                    </a:prstGeom>
                    <a:noFill/>
                    <a:ln w="9525">
                      <a:noFill/>
                      <a:miter/>
                    </a:ln>
                  </pic:spPr>
                </pic:pic>
              </a:graphicData>
            </a:graphic>
          </wp:inline>
        </w:drawing>
      </w:r>
    </w:p>
    <w:p>
      <w:pPr>
        <w:spacing w:line="360" w:lineRule="auto"/>
        <w:ind w:firstLine="632" w:firstLineChars="200"/>
        <w:jc w:val="left"/>
        <w:rPr>
          <w:rFonts w:ascii="仿宋_GB2312" w:hAnsi="Times New Roman"/>
          <w:spacing w:val="-2"/>
          <w:sz w:val="32"/>
          <w:szCs w:val="32"/>
        </w:rPr>
      </w:pPr>
      <w:r>
        <w:rPr>
          <w:rFonts w:hint="eastAsia" w:ascii="仿宋_GB2312" w:hAnsi="Times New Roman"/>
          <w:spacing w:val="-2"/>
          <w:sz w:val="32"/>
          <w:szCs w:val="32"/>
        </w:rPr>
        <w:t>每股价值=4.729+1.087</w:t>
      </w:r>
      <w:r>
        <w:rPr>
          <w:rFonts w:hint="eastAsia" w:ascii="仿宋_GB2312" w:hAnsi="仿宋"/>
          <w:spacing w:val="-2"/>
          <w:sz w:val="32"/>
          <w:szCs w:val="32"/>
        </w:rPr>
        <w:t>×</w:t>
      </w:r>
      <w:r>
        <w:rPr>
          <w:rFonts w:hint="eastAsia" w:ascii="仿宋_GB2312" w:hAnsi="Times New Roman"/>
          <w:spacing w:val="-2"/>
          <w:sz w:val="32"/>
          <w:szCs w:val="32"/>
        </w:rPr>
        <w:t>每股净资产</w:t>
      </w:r>
    </w:p>
    <w:p>
      <w:pPr>
        <w:widowControl/>
        <w:adjustRightInd/>
        <w:snapToGrid/>
        <w:spacing w:line="240" w:lineRule="auto"/>
        <w:ind w:firstLine="632" w:firstLineChars="200"/>
        <w:jc w:val="left"/>
        <w:rPr>
          <w:rFonts w:ascii="仿宋_GB2312" w:cs="宋体"/>
          <w:spacing w:val="0"/>
          <w:kern w:val="0"/>
          <w:sz w:val="32"/>
          <w:szCs w:val="32"/>
        </w:rPr>
      </w:pPr>
      <w:r>
        <w:rPr>
          <w:rFonts w:hint="eastAsia" w:ascii="仿宋_GB2312" w:hAnsi="Times New Roman"/>
          <w:spacing w:val="-2"/>
          <w:sz w:val="32"/>
          <w:szCs w:val="32"/>
        </w:rPr>
        <w:t>由上表可见，R值为0.563，每股净资产t值为3.539，模型整体拟合精度较高，每股净资产系数较为显著。对模型进行样本内预测检验结果如下表所示：</w:t>
      </w:r>
    </w:p>
    <w:p>
      <w:pPr>
        <w:widowControl/>
        <w:adjustRightInd/>
        <w:snapToGrid/>
        <w:spacing w:line="240" w:lineRule="auto"/>
        <w:jc w:val="center"/>
        <w:rPr>
          <w:rFonts w:ascii="仿宋_GB2312" w:cs="宋体"/>
          <w:spacing w:val="0"/>
          <w:kern w:val="0"/>
          <w:sz w:val="32"/>
          <w:szCs w:val="32"/>
        </w:rPr>
      </w:pPr>
      <w:r>
        <w:rPr>
          <w:rFonts w:ascii="仿宋_GB2312" w:hAnsi="宋体" w:eastAsia="仿宋_GB2312" w:cs="宋体"/>
          <w:spacing w:val="0"/>
          <w:kern w:val="0"/>
          <w:sz w:val="32"/>
          <w:szCs w:val="32"/>
          <w:lang w:val="en-US" w:eastAsia="zh-CN" w:bidi="ar-SA"/>
        </w:rPr>
        <w:drawing>
          <wp:inline distT="0" distB="0" distL="114300" distR="114300">
            <wp:extent cx="3248025" cy="5229225"/>
            <wp:effectExtent l="0" t="0" r="9525" b="9525"/>
            <wp:docPr id="8" name="图片 2"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bmp"/>
                    <pic:cNvPicPr>
                      <a:picLocks noChangeAspect="1"/>
                    </pic:cNvPicPr>
                  </pic:nvPicPr>
                  <pic:blipFill>
                    <a:blip r:embed="rId11">
                      <a:lum/>
                    </a:blip>
                    <a:srcRect/>
                    <a:stretch>
                      <a:fillRect/>
                    </a:stretch>
                  </pic:blipFill>
                  <pic:spPr>
                    <a:xfrm>
                      <a:off x="0" y="0"/>
                      <a:ext cx="3248025" cy="5229225"/>
                    </a:xfrm>
                    <a:prstGeom prst="rect">
                      <a:avLst/>
                    </a:prstGeom>
                    <a:noFill/>
                    <a:ln w="9525">
                      <a:noFill/>
                      <a:miter/>
                    </a:ln>
                  </pic:spPr>
                </pic:pic>
              </a:graphicData>
            </a:graphic>
          </wp:inline>
        </w:drawing>
      </w:r>
    </w:p>
    <w:p>
      <w:pPr>
        <w:spacing w:line="360" w:lineRule="auto"/>
        <w:ind w:firstLine="632" w:firstLineChars="200"/>
        <w:rPr>
          <w:rFonts w:ascii="仿宋_GB2312" w:hAnsi="Times New Roman"/>
          <w:spacing w:val="-2"/>
          <w:sz w:val="32"/>
          <w:szCs w:val="32"/>
        </w:rPr>
      </w:pPr>
    </w:p>
    <w:p>
      <w:pPr>
        <w:spacing w:line="360" w:lineRule="auto"/>
        <w:ind w:firstLine="634" w:firstLineChars="200"/>
        <w:rPr>
          <w:rFonts w:ascii="仿宋_GB2312" w:hAnsi="Times New Roman"/>
          <w:b/>
          <w:bCs/>
          <w:spacing w:val="-2"/>
          <w:sz w:val="32"/>
          <w:szCs w:val="32"/>
        </w:rPr>
      </w:pPr>
      <w:r>
        <w:rPr>
          <w:rFonts w:hint="eastAsia" w:ascii="仿宋_GB2312" w:hAnsi="Times New Roman"/>
          <w:b/>
          <w:bCs/>
          <w:spacing w:val="-2"/>
          <w:sz w:val="32"/>
          <w:szCs w:val="32"/>
        </w:rPr>
        <w:t>案例2：</w:t>
      </w:r>
    </w:p>
    <w:p>
      <w:pPr>
        <w:spacing w:line="360" w:lineRule="auto"/>
        <w:ind w:firstLine="634" w:firstLineChars="200"/>
        <w:jc w:val="center"/>
        <w:rPr>
          <w:rFonts w:ascii="仿宋_GB2312" w:hAnsi="Times New Roman"/>
          <w:b/>
          <w:bCs/>
          <w:spacing w:val="-2"/>
          <w:sz w:val="32"/>
          <w:szCs w:val="32"/>
        </w:rPr>
      </w:pPr>
      <w:r>
        <w:rPr>
          <w:rFonts w:hint="eastAsia" w:ascii="仿宋_GB2312" w:hAnsi="Times New Roman"/>
          <w:b/>
          <w:bCs/>
          <w:spacing w:val="-2"/>
          <w:sz w:val="32"/>
          <w:szCs w:val="32"/>
        </w:rPr>
        <w:t>商业银行企业价值市场法</w:t>
      </w:r>
      <w:r>
        <w:rPr>
          <w:rFonts w:hint="eastAsia" w:ascii="仿宋_GB2312" w:hAnsi="仿宋"/>
          <w:b/>
          <w:bCs/>
          <w:sz w:val="32"/>
          <w:szCs w:val="32"/>
        </w:rPr>
        <w:t>评估模型的构建</w:t>
      </w:r>
      <w:r>
        <w:rPr>
          <w:rFonts w:hint="eastAsia" w:ascii="仿宋_GB2312" w:hAnsi="Times New Roman"/>
          <w:b/>
          <w:bCs/>
          <w:spacing w:val="-2"/>
          <w:sz w:val="32"/>
          <w:szCs w:val="32"/>
        </w:rPr>
        <w:t>（节选）</w:t>
      </w:r>
    </w:p>
    <w:p>
      <w:pPr>
        <w:spacing w:line="360" w:lineRule="auto"/>
        <w:ind w:firstLine="632" w:firstLineChars="200"/>
        <w:rPr>
          <w:rFonts w:ascii="仿宋_GB2312" w:hAnsi="仿宋"/>
          <w:sz w:val="32"/>
          <w:szCs w:val="32"/>
        </w:rPr>
      </w:pPr>
      <w:r>
        <w:rPr>
          <w:rFonts w:hint="eastAsia" w:ascii="仿宋_GB2312" w:hAnsi="Times New Roman"/>
          <w:spacing w:val="-2"/>
          <w:sz w:val="32"/>
          <w:szCs w:val="32"/>
        </w:rPr>
        <w:t>1.</w:t>
      </w:r>
      <w:r>
        <w:rPr>
          <w:rFonts w:hint="eastAsia" w:ascii="仿宋_GB2312" w:hAnsi="仿宋"/>
          <w:sz w:val="32"/>
          <w:szCs w:val="32"/>
        </w:rPr>
        <w:t>各参数的相关性分析</w:t>
      </w:r>
    </w:p>
    <w:p>
      <w:pPr>
        <w:spacing w:line="360" w:lineRule="auto"/>
        <w:ind w:firstLine="664" w:firstLineChars="200"/>
        <w:rPr>
          <w:rFonts w:ascii="仿宋_GB2312" w:hAnsi="Times New Roman"/>
          <w:spacing w:val="-2"/>
          <w:sz w:val="32"/>
          <w:szCs w:val="32"/>
        </w:rPr>
      </w:pPr>
      <w:r>
        <w:rPr>
          <w:rFonts w:hint="eastAsia" w:ascii="仿宋_GB2312" w:hAnsi="仿宋"/>
          <w:sz w:val="32"/>
          <w:szCs w:val="32"/>
        </w:rPr>
        <w:t>选用评估基准日沪、深两市若干商业银行作为样本，</w:t>
      </w:r>
      <w:r>
        <w:rPr>
          <w:rFonts w:hint="eastAsia" w:ascii="仿宋_GB2312" w:hAnsi="Times New Roman"/>
          <w:spacing w:val="-2"/>
          <w:sz w:val="32"/>
          <w:szCs w:val="32"/>
        </w:rPr>
        <w:t>选择可能与商业银行价值存在影响的25个参数值作为自变量，</w:t>
      </w:r>
      <w:r>
        <w:rPr>
          <w:rFonts w:hint="eastAsia" w:ascii="仿宋_GB2312"/>
          <w:sz w:val="32"/>
          <w:szCs w:val="32"/>
        </w:rPr>
        <w:t>分析每一个变量与</w:t>
      </w:r>
      <w:r>
        <w:rPr>
          <w:rFonts w:hint="eastAsia" w:ascii="仿宋_GB2312" w:hAnsi="Times New Roman"/>
          <w:spacing w:val="-2"/>
          <w:sz w:val="32"/>
          <w:szCs w:val="32"/>
        </w:rPr>
        <w:t>商业银行价值</w:t>
      </w:r>
      <w:r>
        <w:rPr>
          <w:rFonts w:hint="eastAsia" w:ascii="仿宋_GB2312"/>
          <w:sz w:val="32"/>
          <w:szCs w:val="32"/>
        </w:rPr>
        <w:t>的相关性</w:t>
      </w:r>
      <w:r>
        <w:rPr>
          <w:rFonts w:hint="eastAsia" w:ascii="仿宋_GB2312" w:hAnsi="Times New Roman"/>
          <w:spacing w:val="-2"/>
          <w:sz w:val="32"/>
          <w:szCs w:val="32"/>
        </w:rPr>
        <w:t>。</w:t>
      </w:r>
    </w:p>
    <w:p>
      <w:pPr>
        <w:spacing w:line="360" w:lineRule="auto"/>
        <w:ind w:firstLine="664" w:firstLineChars="200"/>
        <w:rPr>
          <w:rFonts w:ascii="仿宋_GB2312"/>
          <w:sz w:val="32"/>
          <w:szCs w:val="32"/>
        </w:rPr>
      </w:pPr>
      <w:r>
        <w:rPr>
          <w:rFonts w:hint="eastAsia" w:ascii="仿宋_GB2312"/>
          <w:sz w:val="32"/>
          <w:szCs w:val="32"/>
        </w:rPr>
        <w:t>通过量化以上指标与股价的相关程度，</w:t>
      </w:r>
      <w:r>
        <w:rPr>
          <w:rFonts w:hint="eastAsia" w:ascii="仿宋_GB2312" w:hAnsi="仿宋"/>
          <w:sz w:val="32"/>
          <w:szCs w:val="32"/>
        </w:rPr>
        <w:t>筛选得到如下分析结果：</w:t>
      </w:r>
    </w:p>
    <w:p>
      <w:pPr>
        <w:spacing w:line="360" w:lineRule="auto"/>
        <w:jc w:val="center"/>
        <w:rPr>
          <w:rFonts w:ascii="仿宋_GB2312" w:hAnsi="Times New Roman"/>
          <w:spacing w:val="-2"/>
          <w:sz w:val="32"/>
          <w:szCs w:val="32"/>
          <w:highlight w:val="blue"/>
        </w:rPr>
      </w:pPr>
      <w:r>
        <w:rPr>
          <w:rFonts w:ascii="仿宋_GB2312" w:hAnsi="Times New Roman" w:eastAsia="仿宋_GB2312" w:cs="Times New Roman"/>
          <w:spacing w:val="-2"/>
          <w:kern w:val="2"/>
          <w:sz w:val="32"/>
          <w:szCs w:val="32"/>
          <w:lang w:val="en-US" w:eastAsia="zh-CN" w:bidi="ar-SA"/>
        </w:rPr>
        <w:drawing>
          <wp:inline distT="0" distB="0" distL="114300" distR="114300">
            <wp:extent cx="3267075" cy="3695700"/>
            <wp:effectExtent l="0" t="0" r="952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2">
                      <a:lum/>
                    </a:blip>
                    <a:srcRect/>
                    <a:stretch>
                      <a:fillRect/>
                    </a:stretch>
                  </pic:blipFill>
                  <pic:spPr>
                    <a:xfrm>
                      <a:off x="0" y="0"/>
                      <a:ext cx="3267075" cy="3695700"/>
                    </a:xfrm>
                    <a:prstGeom prst="rect">
                      <a:avLst/>
                    </a:prstGeom>
                    <a:noFill/>
                    <a:ln w="9525">
                      <a:noFill/>
                      <a:miter/>
                    </a:ln>
                  </pic:spPr>
                </pic:pic>
              </a:graphicData>
            </a:graphic>
          </wp:inline>
        </w:drawing>
      </w:r>
    </w:p>
    <w:p>
      <w:pPr>
        <w:spacing w:line="360" w:lineRule="auto"/>
        <w:jc w:val="center"/>
        <w:rPr>
          <w:rFonts w:ascii="仿宋_GB2312" w:hAnsi="Times New Roman"/>
          <w:spacing w:val="-2"/>
          <w:sz w:val="32"/>
          <w:szCs w:val="32"/>
          <w:highlight w:val="blue"/>
        </w:rPr>
      </w:pPr>
    </w:p>
    <w:p>
      <w:pPr>
        <w:spacing w:line="360" w:lineRule="auto"/>
        <w:ind w:firstLine="664" w:firstLineChars="200"/>
        <w:rPr>
          <w:rFonts w:ascii="仿宋_GB2312" w:hAnsi="仿宋"/>
          <w:sz w:val="32"/>
          <w:szCs w:val="32"/>
        </w:rPr>
      </w:pPr>
      <w:r>
        <w:rPr>
          <w:rFonts w:hint="eastAsia" w:ascii="仿宋_GB2312" w:hAnsi="仿宋"/>
          <w:sz w:val="32"/>
          <w:szCs w:val="32"/>
        </w:rPr>
        <w:t>根据上述相关性分析结果，认为</w:t>
      </w:r>
      <w:r>
        <w:rPr>
          <w:rFonts w:hint="eastAsia" w:ascii="仿宋_GB2312"/>
          <w:sz w:val="32"/>
          <w:szCs w:val="32"/>
        </w:rPr>
        <w:t>每股收益、</w:t>
      </w:r>
      <w:r>
        <w:rPr>
          <w:rFonts w:hint="eastAsia" w:ascii="仿宋_GB2312" w:hAnsi="仿宋"/>
          <w:sz w:val="32"/>
          <w:szCs w:val="32"/>
        </w:rPr>
        <w:t>每股净资产与</w:t>
      </w:r>
      <w:r>
        <w:rPr>
          <w:rFonts w:hint="eastAsia" w:ascii="仿宋_GB2312" w:hAnsi="Times New Roman"/>
          <w:spacing w:val="-2"/>
          <w:sz w:val="32"/>
          <w:szCs w:val="32"/>
        </w:rPr>
        <w:t>股价高度</w:t>
      </w:r>
      <w:r>
        <w:rPr>
          <w:rFonts w:hint="eastAsia" w:ascii="仿宋_GB2312" w:hAnsi="仿宋"/>
          <w:sz w:val="32"/>
          <w:szCs w:val="32"/>
        </w:rPr>
        <w:t>相关（散点图如下），拨备覆盖率与股价显著相关。</w:t>
      </w:r>
      <w:r>
        <w:rPr>
          <w:rFonts w:hint="eastAsia" w:ascii="仿宋_GB2312" w:hAnsi="Times New Roman"/>
          <w:spacing w:val="-2"/>
          <w:sz w:val="32"/>
          <w:szCs w:val="32"/>
        </w:rPr>
        <w:t>由于影响商业银行企业价值的因素并不唯一，此次将采用多因素模型评估标的商业银行的企业价值，并</w:t>
      </w:r>
      <w:r>
        <w:rPr>
          <w:rFonts w:hint="eastAsia" w:ascii="仿宋_GB2312" w:hAnsi="仿宋"/>
          <w:sz w:val="32"/>
          <w:szCs w:val="32"/>
        </w:rPr>
        <w:t>初步选用</w:t>
      </w:r>
      <w:r>
        <w:rPr>
          <w:rFonts w:hint="eastAsia" w:ascii="仿宋_GB2312"/>
          <w:sz w:val="32"/>
          <w:szCs w:val="32"/>
        </w:rPr>
        <w:t>每股收益、</w:t>
      </w:r>
      <w:r>
        <w:rPr>
          <w:rFonts w:hint="eastAsia" w:ascii="仿宋_GB2312" w:hAnsi="仿宋"/>
          <w:sz w:val="32"/>
          <w:szCs w:val="32"/>
        </w:rPr>
        <w:t>每股净资产、拨备覆盖率（在后续多因素回归分析</w:t>
      </w:r>
      <w:r>
        <w:rPr>
          <w:rFonts w:hint="eastAsia" w:ascii="仿宋_GB2312" w:cs="宋体"/>
          <w:kern w:val="0"/>
          <w:sz w:val="32"/>
          <w:szCs w:val="32"/>
        </w:rPr>
        <w:t>时，通过T检验发现此变量对被解释变量的贡献度非常小,最终予以剔除</w:t>
      </w:r>
      <w:r>
        <w:rPr>
          <w:rFonts w:hint="eastAsia" w:ascii="仿宋_GB2312" w:hAnsi="仿宋"/>
          <w:sz w:val="32"/>
          <w:szCs w:val="32"/>
        </w:rPr>
        <w:t>）作为多因素模型的指标。</w:t>
      </w:r>
    </w:p>
    <w:p>
      <w:pPr>
        <w:spacing w:line="360" w:lineRule="auto"/>
        <w:ind w:firstLine="640" w:firstLineChars="200"/>
        <w:rPr>
          <w:rFonts w:ascii="仿宋_GB2312" w:hAnsi="仿宋"/>
          <w:sz w:val="32"/>
          <w:szCs w:val="32"/>
        </w:rPr>
      </w:pPr>
      <w:r>
        <w:rPr>
          <w:rFonts w:ascii="仿宋_GB2312" w:hAnsi="Times New Roman" w:eastAsia="仿宋_GB2312" w:cs="Times New Roman"/>
          <w:spacing w:val="-2"/>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3100070</wp:posOffset>
            </wp:positionH>
            <wp:positionV relativeFrom="paragraph">
              <wp:posOffset>116205</wp:posOffset>
            </wp:positionV>
            <wp:extent cx="2466340" cy="1974850"/>
            <wp:effectExtent l="0" t="0" r="10160" b="635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3">
                      <a:lum/>
                    </a:blip>
                    <a:srcRect/>
                    <a:stretch>
                      <a:fillRect/>
                    </a:stretch>
                  </pic:blipFill>
                  <pic:spPr>
                    <a:xfrm>
                      <a:off x="0" y="0"/>
                      <a:ext cx="2466340" cy="1974850"/>
                    </a:xfrm>
                    <a:prstGeom prst="rect">
                      <a:avLst/>
                    </a:prstGeom>
                    <a:noFill/>
                    <a:ln w="9525">
                      <a:noFill/>
                      <a:miter/>
                    </a:ln>
                  </pic:spPr>
                </pic:pic>
              </a:graphicData>
            </a:graphic>
          </wp:anchor>
        </w:drawing>
      </w:r>
      <w:r>
        <w:rPr>
          <w:rFonts w:ascii="仿宋_GB2312" w:hAnsi="Times New Roman" w:eastAsia="仿宋_GB2312" w:cs="Times New Roman"/>
          <w:spacing w:val="-2"/>
          <w:kern w:val="2"/>
          <w:sz w:val="32"/>
          <w:szCs w:val="32"/>
          <w:lang w:val="en-US" w:eastAsia="zh-CN" w:bidi="ar-SA"/>
        </w:rPr>
        <w:drawing>
          <wp:anchor distT="0" distB="0" distL="114300" distR="114300" simplePos="0" relativeHeight="251660288" behindDoc="1" locked="0" layoutInCell="1" allowOverlap="1">
            <wp:simplePos x="0" y="0"/>
            <wp:positionH relativeFrom="column">
              <wp:posOffset>396240</wp:posOffset>
            </wp:positionH>
            <wp:positionV relativeFrom="paragraph">
              <wp:posOffset>101600</wp:posOffset>
            </wp:positionV>
            <wp:extent cx="2496820" cy="1989455"/>
            <wp:effectExtent l="0" t="0" r="17780" b="10795"/>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lum/>
                    </a:blip>
                    <a:srcRect/>
                    <a:stretch>
                      <a:fillRect/>
                    </a:stretch>
                  </pic:blipFill>
                  <pic:spPr>
                    <a:xfrm>
                      <a:off x="0" y="0"/>
                      <a:ext cx="2496820" cy="1989455"/>
                    </a:xfrm>
                    <a:prstGeom prst="rect">
                      <a:avLst/>
                    </a:prstGeom>
                    <a:noFill/>
                    <a:ln w="9525">
                      <a:noFill/>
                      <a:miter/>
                    </a:ln>
                  </pic:spPr>
                </pic:pic>
              </a:graphicData>
            </a:graphic>
          </wp:anchor>
        </w:drawing>
      </w:r>
    </w:p>
    <w:p>
      <w:pPr>
        <w:spacing w:line="360" w:lineRule="auto"/>
        <w:ind w:firstLine="664" w:firstLineChars="200"/>
        <w:rPr>
          <w:rFonts w:ascii="仿宋_GB2312" w:hAnsi="仿宋"/>
          <w:sz w:val="32"/>
          <w:szCs w:val="32"/>
        </w:rPr>
      </w:pPr>
    </w:p>
    <w:p>
      <w:pPr>
        <w:spacing w:line="360" w:lineRule="auto"/>
        <w:ind w:firstLine="664" w:firstLineChars="200"/>
        <w:rPr>
          <w:rFonts w:ascii="仿宋_GB2312" w:hAnsi="仿宋"/>
          <w:sz w:val="32"/>
          <w:szCs w:val="32"/>
        </w:rPr>
      </w:pPr>
    </w:p>
    <w:p>
      <w:pPr>
        <w:spacing w:line="360" w:lineRule="auto"/>
        <w:ind w:firstLine="505" w:firstLineChars="152"/>
        <w:rPr>
          <w:rFonts w:ascii="仿宋_GB2312" w:hAnsi="Times New Roman"/>
          <w:spacing w:val="-2"/>
          <w:sz w:val="32"/>
          <w:szCs w:val="32"/>
        </w:rPr>
      </w:pPr>
      <w:r>
        <w:rPr>
          <w:rFonts w:hint="eastAsia" w:ascii="仿宋_GB2312" w:hAnsi="仿宋"/>
          <w:sz w:val="32"/>
          <w:szCs w:val="32"/>
        </w:rPr>
        <w:t>2.</w:t>
      </w:r>
      <w:r>
        <w:rPr>
          <w:rFonts w:hint="eastAsia" w:ascii="仿宋_GB2312" w:hAnsi="Times New Roman"/>
          <w:spacing w:val="-2"/>
          <w:sz w:val="32"/>
          <w:szCs w:val="32"/>
        </w:rPr>
        <w:t>构建多因素模型</w:t>
      </w:r>
    </w:p>
    <w:p>
      <w:pPr>
        <w:spacing w:line="360" w:lineRule="auto"/>
        <w:ind w:firstLine="632" w:firstLineChars="200"/>
        <w:rPr>
          <w:rFonts w:ascii="仿宋_GB2312" w:hAnsi="Times New Roman"/>
          <w:spacing w:val="-2"/>
          <w:sz w:val="32"/>
          <w:szCs w:val="32"/>
        </w:rPr>
      </w:pPr>
      <w:r>
        <w:rPr>
          <w:rFonts w:hint="eastAsia" w:ascii="仿宋_GB2312" w:hAnsi="Times New Roman"/>
          <w:spacing w:val="-2"/>
          <w:sz w:val="32"/>
          <w:szCs w:val="32"/>
        </w:rPr>
        <w:t>采用逐步回归的方式构建模型，构建过程中，首先选取高度相关的两个自变量，即每股净资产、每股收益建立与因变量股价间的回归方程，然后将其他的自变量参数分别代入方程，来优化模型。通过对各回归模型总体拟合优度及</w:t>
      </w:r>
      <w:r>
        <w:rPr>
          <w:rFonts w:hint="eastAsia" w:ascii="仿宋_GB2312" w:cs="宋体"/>
          <w:kern w:val="0"/>
          <w:sz w:val="32"/>
          <w:szCs w:val="32"/>
        </w:rPr>
        <w:t>T检验的分析发现，以上所选取的其他变量（如拨备覆盖率等）对被解释变量的贡献度非常小,可以排除。</w:t>
      </w:r>
    </w:p>
    <w:p>
      <w:pPr>
        <w:pStyle w:val="27"/>
        <w:ind w:right="81" w:rightChars="26" w:firstLine="664"/>
        <w:rPr>
          <w:rFonts w:ascii="仿宋_GB2312" w:cs="宋体"/>
          <w:kern w:val="0"/>
          <w:sz w:val="32"/>
          <w:szCs w:val="32"/>
        </w:rPr>
      </w:pPr>
      <w:r>
        <w:rPr>
          <w:rFonts w:hint="eastAsia" w:ascii="仿宋_GB2312" w:cs="宋体"/>
          <w:kern w:val="0"/>
          <w:sz w:val="32"/>
          <w:szCs w:val="32"/>
        </w:rPr>
        <w:t>在以上分析的基础上，通过</w:t>
      </w:r>
      <w:r>
        <w:rPr>
          <w:rFonts w:hint="eastAsia" w:ascii="仿宋_GB2312" w:hAnsi="仿宋"/>
          <w:sz w:val="32"/>
          <w:szCs w:val="32"/>
        </w:rPr>
        <w:t>运用SPSS统计分析软件</w:t>
      </w:r>
      <w:r>
        <w:rPr>
          <w:rFonts w:hint="eastAsia" w:ascii="仿宋_GB2312" w:cs="宋体"/>
          <w:kern w:val="0"/>
          <w:sz w:val="32"/>
          <w:szCs w:val="32"/>
        </w:rPr>
        <w:t>对自变量每股净资产、每股收益进行回归分析，最终获取如下回归方程（此方程已通过</w:t>
      </w:r>
      <w:r>
        <w:rPr>
          <w:rFonts w:cs="方正小标宋简体"/>
          <w:kern w:val="0"/>
          <w:sz w:val="32"/>
          <w:szCs w:val="32"/>
          <w:lang w:val="zh-TW" w:eastAsia="zh-TW"/>
        </w:rPr>
        <w:t>多重共</w:t>
      </w:r>
      <w:r>
        <w:rPr>
          <w:rFonts w:hint="eastAsia" w:cs="方正小标宋简体"/>
          <w:kern w:val="0"/>
          <w:sz w:val="32"/>
          <w:szCs w:val="32"/>
          <w:lang w:val="zh-TW" w:eastAsia="zh-TW"/>
        </w:rPr>
        <w:t>线性</w:t>
      </w:r>
      <w:r>
        <w:rPr>
          <w:rFonts w:hint="eastAsia" w:cs="方正小标宋简体"/>
          <w:kern w:val="0"/>
          <w:sz w:val="32"/>
          <w:szCs w:val="32"/>
          <w:lang w:val="zh-TW"/>
        </w:rPr>
        <w:t>、F、W检验）</w:t>
      </w:r>
      <w:r>
        <w:rPr>
          <w:rFonts w:hint="eastAsia" w:ascii="仿宋_GB2312" w:cs="宋体"/>
          <w:kern w:val="0"/>
          <w:sz w:val="32"/>
          <w:szCs w:val="32"/>
        </w:rPr>
        <w:t>：</w:t>
      </w:r>
    </w:p>
    <w:p>
      <w:pPr>
        <w:pStyle w:val="27"/>
        <w:ind w:firstLine="0" w:firstLineChars="0"/>
        <w:jc w:val="center"/>
        <w:rPr>
          <w:rFonts w:ascii="仿宋_GB2312" w:cs="宋体"/>
          <w:kern w:val="0"/>
          <w:sz w:val="32"/>
          <w:szCs w:val="32"/>
        </w:rPr>
      </w:pPr>
      <w:r>
        <w:rPr>
          <w:rFonts w:ascii="仿宋_GB2312" w:hAnsi="宋体" w:eastAsia="仿宋_GB2312" w:cs="宋体"/>
          <w:spacing w:val="6"/>
          <w:kern w:val="0"/>
          <w:sz w:val="32"/>
          <w:szCs w:val="32"/>
          <w:lang w:val="en-US" w:eastAsia="zh-CN" w:bidi="ar-SA"/>
        </w:rPr>
        <w:drawing>
          <wp:inline distT="0" distB="0" distL="114300" distR="114300">
            <wp:extent cx="3686175" cy="933450"/>
            <wp:effectExtent l="0" t="0" r="9525" b="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15">
                      <a:lum/>
                    </a:blip>
                    <a:srcRect/>
                    <a:stretch>
                      <a:fillRect/>
                    </a:stretch>
                  </pic:blipFill>
                  <pic:spPr>
                    <a:xfrm>
                      <a:off x="0" y="0"/>
                      <a:ext cx="3686175" cy="933450"/>
                    </a:xfrm>
                    <a:prstGeom prst="rect">
                      <a:avLst/>
                    </a:prstGeom>
                    <a:noFill/>
                    <a:ln w="9525">
                      <a:noFill/>
                      <a:miter/>
                    </a:ln>
                  </pic:spPr>
                </pic:pic>
              </a:graphicData>
            </a:graphic>
          </wp:inline>
        </w:drawing>
      </w:r>
    </w:p>
    <w:p>
      <w:pPr>
        <w:pStyle w:val="27"/>
        <w:ind w:firstLine="0" w:firstLineChars="0"/>
        <w:jc w:val="center"/>
        <w:rPr>
          <w:rFonts w:ascii="仿宋_GB2312" w:cs="宋体"/>
          <w:kern w:val="0"/>
          <w:sz w:val="32"/>
          <w:szCs w:val="32"/>
        </w:rPr>
      </w:pPr>
      <w:r>
        <w:rPr>
          <w:rFonts w:ascii="仿宋_GB2312" w:hAnsi="宋体" w:eastAsia="仿宋_GB2312" w:cs="宋体"/>
          <w:spacing w:val="6"/>
          <w:kern w:val="0"/>
          <w:sz w:val="32"/>
          <w:szCs w:val="32"/>
          <w:lang w:val="en-US" w:eastAsia="zh-CN" w:bidi="ar-SA"/>
        </w:rPr>
        <w:drawing>
          <wp:inline distT="0" distB="0" distL="114300" distR="114300">
            <wp:extent cx="3733800" cy="108585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6">
                      <a:lum/>
                    </a:blip>
                    <a:srcRect/>
                    <a:stretch>
                      <a:fillRect/>
                    </a:stretch>
                  </pic:blipFill>
                  <pic:spPr>
                    <a:xfrm>
                      <a:off x="0" y="0"/>
                      <a:ext cx="3733800" cy="1085850"/>
                    </a:xfrm>
                    <a:prstGeom prst="rect">
                      <a:avLst/>
                    </a:prstGeom>
                    <a:noFill/>
                    <a:ln w="9525">
                      <a:noFill/>
                      <a:miter/>
                    </a:ln>
                  </pic:spPr>
                </pic:pic>
              </a:graphicData>
            </a:graphic>
          </wp:inline>
        </w:drawing>
      </w:r>
    </w:p>
    <w:p>
      <w:pPr>
        <w:pStyle w:val="27"/>
        <w:ind w:firstLine="0" w:firstLineChars="0"/>
        <w:jc w:val="center"/>
        <w:rPr>
          <w:rFonts w:ascii="仿宋_GB2312" w:cs="宋体"/>
          <w:kern w:val="0"/>
          <w:sz w:val="32"/>
          <w:szCs w:val="32"/>
        </w:rPr>
      </w:pPr>
    </w:p>
    <w:p>
      <w:pPr>
        <w:ind w:firstLine="664" w:firstLineChars="200"/>
        <w:rPr>
          <w:rFonts w:ascii="仿宋_GB2312" w:cs="宋体"/>
          <w:kern w:val="0"/>
          <w:sz w:val="32"/>
          <w:szCs w:val="32"/>
        </w:rPr>
      </w:pPr>
      <w:r>
        <w:rPr>
          <w:rFonts w:hint="eastAsia" w:ascii="仿宋_GB2312" w:cs="宋体"/>
          <w:kern w:val="0"/>
          <w:sz w:val="32"/>
          <w:szCs w:val="32"/>
        </w:rPr>
        <w:t>Y=0.299+0.648×X</w:t>
      </w:r>
      <w:r>
        <w:rPr>
          <w:rFonts w:ascii="仿宋_GB2312" w:cs="宋体"/>
          <w:kern w:val="0"/>
          <w:sz w:val="32"/>
          <w:szCs w:val="32"/>
          <w:vertAlign w:val="subscript"/>
        </w:rPr>
        <w:t>1</w:t>
      </w:r>
      <w:r>
        <w:rPr>
          <w:rFonts w:hint="eastAsia" w:ascii="仿宋_GB2312" w:cs="宋体"/>
          <w:kern w:val="0"/>
          <w:sz w:val="32"/>
          <w:szCs w:val="32"/>
        </w:rPr>
        <w:t>+2.644×X</w:t>
      </w:r>
      <w:r>
        <w:rPr>
          <w:rFonts w:ascii="仿宋_GB2312" w:cs="宋体"/>
          <w:kern w:val="0"/>
          <w:sz w:val="32"/>
          <w:szCs w:val="32"/>
          <w:vertAlign w:val="subscript"/>
        </w:rPr>
        <w:t>2</w:t>
      </w:r>
    </w:p>
    <w:p>
      <w:pPr>
        <w:ind w:firstLine="664" w:firstLineChars="200"/>
        <w:rPr>
          <w:rFonts w:ascii="仿宋_GB2312" w:cs="宋体"/>
          <w:kern w:val="0"/>
          <w:sz w:val="32"/>
          <w:szCs w:val="32"/>
        </w:rPr>
      </w:pPr>
      <w:r>
        <w:rPr>
          <w:rFonts w:hint="eastAsia" w:ascii="仿宋_GB2312" w:cs="宋体"/>
          <w:kern w:val="0"/>
          <w:sz w:val="32"/>
          <w:szCs w:val="32"/>
        </w:rPr>
        <w:t>Y：股价</w:t>
      </w:r>
    </w:p>
    <w:p>
      <w:pPr>
        <w:ind w:firstLine="664" w:firstLineChars="200"/>
        <w:rPr>
          <w:rFonts w:ascii="仿宋_GB2312" w:cs="宋体"/>
          <w:kern w:val="0"/>
          <w:sz w:val="32"/>
          <w:szCs w:val="32"/>
        </w:rPr>
      </w:pPr>
      <w:r>
        <w:rPr>
          <w:rFonts w:hint="eastAsia" w:ascii="仿宋_GB2312" w:cs="宋体"/>
          <w:kern w:val="0"/>
          <w:sz w:val="32"/>
          <w:szCs w:val="32"/>
        </w:rPr>
        <w:t>X</w:t>
      </w:r>
      <w:r>
        <w:rPr>
          <w:rFonts w:ascii="仿宋_GB2312" w:cs="宋体"/>
          <w:kern w:val="0"/>
          <w:sz w:val="32"/>
          <w:szCs w:val="32"/>
          <w:vertAlign w:val="subscript"/>
        </w:rPr>
        <w:t>1</w:t>
      </w:r>
      <w:r>
        <w:rPr>
          <w:rFonts w:hint="eastAsia" w:ascii="仿宋_GB2312" w:cs="宋体"/>
          <w:kern w:val="0"/>
          <w:sz w:val="32"/>
          <w:szCs w:val="32"/>
        </w:rPr>
        <w:t>：每股净资产</w:t>
      </w:r>
    </w:p>
    <w:p>
      <w:pPr>
        <w:ind w:firstLine="664" w:firstLineChars="200"/>
        <w:rPr>
          <w:rFonts w:ascii="仿宋_GB2312" w:cs="宋体"/>
          <w:kern w:val="0"/>
          <w:sz w:val="32"/>
          <w:szCs w:val="32"/>
        </w:rPr>
      </w:pPr>
      <w:r>
        <w:rPr>
          <w:rFonts w:hint="eastAsia" w:ascii="仿宋_GB2312" w:cs="宋体"/>
          <w:kern w:val="0"/>
          <w:sz w:val="32"/>
          <w:szCs w:val="32"/>
        </w:rPr>
        <w:t>X</w:t>
      </w:r>
      <w:r>
        <w:rPr>
          <w:rFonts w:ascii="仿宋_GB2312" w:cs="宋体"/>
          <w:kern w:val="0"/>
          <w:sz w:val="32"/>
          <w:szCs w:val="32"/>
          <w:vertAlign w:val="subscript"/>
        </w:rPr>
        <w:t>2</w:t>
      </w:r>
      <w:r>
        <w:rPr>
          <w:rFonts w:hint="eastAsia" w:ascii="仿宋_GB2312" w:cs="宋体"/>
          <w:kern w:val="0"/>
          <w:sz w:val="32"/>
          <w:szCs w:val="32"/>
        </w:rPr>
        <w:t>：每股收益</w:t>
      </w:r>
    </w:p>
    <w:p>
      <w:pPr>
        <w:widowControl/>
        <w:adjustRightInd/>
        <w:snapToGrid/>
        <w:spacing w:line="240" w:lineRule="auto"/>
        <w:ind w:firstLine="632" w:firstLineChars="200"/>
        <w:jc w:val="left"/>
        <w:rPr>
          <w:rFonts w:ascii="仿宋_GB2312" w:cs="宋体"/>
          <w:spacing w:val="0"/>
          <w:kern w:val="0"/>
          <w:sz w:val="32"/>
          <w:szCs w:val="32"/>
        </w:rPr>
      </w:pPr>
      <w:r>
        <w:rPr>
          <w:rFonts w:hint="eastAsia" w:ascii="仿宋_GB2312" w:hAnsi="Times New Roman"/>
          <w:spacing w:val="-2"/>
          <w:sz w:val="32"/>
          <w:szCs w:val="32"/>
        </w:rPr>
        <w:t>由上表可见，R值为0.933，每股净资产t值为3.115，每股收益t值为2.727，模型整体拟合精度较高，每股净资产、每股收益系数较为显著。对模型进行样本内预测检验结果如下表所示：</w:t>
      </w:r>
    </w:p>
    <w:p>
      <w:pPr>
        <w:spacing w:line="320" w:lineRule="atLeast"/>
        <w:ind w:left="60" w:right="60"/>
        <w:jc w:val="center"/>
        <w:rPr>
          <w:rFonts w:ascii="仿宋_GB2312"/>
          <w:b/>
          <w:bCs/>
          <w:sz w:val="32"/>
          <w:szCs w:val="32"/>
        </w:rPr>
      </w:pPr>
      <w:r>
        <w:rPr>
          <w:rFonts w:hint="eastAsia" w:ascii="仿宋_GB2312"/>
          <w:b/>
          <w:bCs/>
          <w:sz w:val="32"/>
          <w:szCs w:val="32"/>
        </w:rPr>
        <w:t>检验结果</w:t>
      </w:r>
    </w:p>
    <w:p>
      <w:pPr>
        <w:spacing w:line="320" w:lineRule="atLeast"/>
        <w:ind w:left="60" w:right="60"/>
        <w:jc w:val="center"/>
        <w:rPr>
          <w:rFonts w:ascii="仿宋_GB2312"/>
          <w:b/>
          <w:bCs/>
          <w:sz w:val="32"/>
          <w:szCs w:val="32"/>
        </w:rPr>
      </w:pPr>
      <w:r>
        <w:rPr>
          <w:rFonts w:ascii="仿宋_GB2312" w:hAnsi="宋体" w:eastAsia="仿宋_GB2312" w:cs="Times New Roman"/>
          <w:b/>
          <w:spacing w:val="6"/>
          <w:kern w:val="2"/>
          <w:sz w:val="32"/>
          <w:szCs w:val="32"/>
          <w:lang w:val="en-US" w:eastAsia="zh-CN" w:bidi="ar-SA"/>
        </w:rPr>
        <w:drawing>
          <wp:inline distT="0" distB="0" distL="114300" distR="114300">
            <wp:extent cx="2295525" cy="4371975"/>
            <wp:effectExtent l="0" t="0" r="9525" b="9525"/>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pic:cNvPicPr>
                  </pic:nvPicPr>
                  <pic:blipFill>
                    <a:blip r:embed="rId17">
                      <a:lum/>
                    </a:blip>
                    <a:srcRect/>
                    <a:stretch>
                      <a:fillRect/>
                    </a:stretch>
                  </pic:blipFill>
                  <pic:spPr>
                    <a:xfrm>
                      <a:off x="0" y="0"/>
                      <a:ext cx="2295525" cy="4371975"/>
                    </a:xfrm>
                    <a:prstGeom prst="rect">
                      <a:avLst/>
                    </a:prstGeom>
                    <a:noFill/>
                    <a:ln w="9525">
                      <a:noFill/>
                      <a:miter/>
                    </a:ln>
                  </pic:spPr>
                </pic:pic>
              </a:graphicData>
            </a:graphic>
          </wp:inline>
        </w:drawing>
      </w:r>
    </w:p>
    <w:tbl>
      <w:tblPr>
        <w:tblStyle w:val="21"/>
        <w:tblW w:w="606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6061" w:type="dxa"/>
            <w:tcBorders>
              <w:top w:val="nil"/>
              <w:left w:val="nil"/>
              <w:bottom w:val="nil"/>
              <w:right w:val="nil"/>
            </w:tcBorders>
            <w:shd w:val="clear" w:color="auto" w:fill="FFFFFF"/>
            <w:vAlign w:val="top"/>
          </w:tcPr>
          <w:p>
            <w:pPr>
              <w:spacing w:line="320" w:lineRule="atLeast"/>
              <w:ind w:left="60" w:right="60"/>
              <w:jc w:val="center"/>
              <w:rPr>
                <w:rFonts w:ascii="仿宋_GB2312"/>
                <w:sz w:val="32"/>
                <w:szCs w:val="32"/>
              </w:rPr>
            </w:pPr>
            <w:r>
              <w:rPr>
                <w:rFonts w:ascii="仿宋_GB2312" w:hAnsi="宋体" w:eastAsia="仿宋_GB2312" w:cs="Times New Roman"/>
                <w:spacing w:val="6"/>
                <w:kern w:val="2"/>
                <w:sz w:val="32"/>
                <w:szCs w:val="32"/>
                <w:lang w:val="en-US" w:eastAsia="zh-CN" w:bidi="ar-SA"/>
              </w:rPr>
              <w:drawing>
                <wp:inline distT="0" distB="0" distL="114300" distR="114300">
                  <wp:extent cx="2647950" cy="211455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pic:cNvPicPr>
                        </pic:nvPicPr>
                        <pic:blipFill>
                          <a:blip r:embed="rId18">
                            <a:lum/>
                          </a:blip>
                          <a:srcRect/>
                          <a:stretch>
                            <a:fillRect/>
                          </a:stretch>
                        </pic:blipFill>
                        <pic:spPr>
                          <a:xfrm>
                            <a:off x="0" y="0"/>
                            <a:ext cx="2647950" cy="2114550"/>
                          </a:xfrm>
                          <a:prstGeom prst="rect">
                            <a:avLst/>
                          </a:prstGeom>
                          <a:noFill/>
                          <a:ln w="9525">
                            <a:noFill/>
                            <a:miter/>
                          </a:ln>
                        </pic:spPr>
                      </pic:pic>
                    </a:graphicData>
                  </a:graphic>
                </wp:inline>
              </w:drawing>
            </w:r>
          </w:p>
        </w:tc>
      </w:tr>
    </w:tbl>
    <w:p>
      <w:pPr>
        <w:spacing w:before="156" w:after="156"/>
      </w:pPr>
    </w:p>
    <w:sectPr>
      <w:footerReference r:id="rId3" w:type="default"/>
      <w:footerReference r:id="rId4" w:type="even"/>
      <w:pgSz w:w="11906" w:h="16838"/>
      <w:pgMar w:top="1644" w:right="1418" w:bottom="1985" w:left="1542"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2055" w:wrap="around" w:vAnchor="text" w:hAnchor="page" w:x="8440" w:y="-355"/>
      <w:spacing w:line="0" w:lineRule="atLeast"/>
      <w:ind w:right="345"/>
      <w:jc w:val="right"/>
      <w:rPr>
        <w:rStyle w:val="19"/>
      </w:rPr>
    </w:pPr>
    <w:r>
      <w:rPr>
        <w:rStyle w:val="19"/>
        <w:rFonts w:hint="eastAsia" w:ascii="仿宋_GB2312"/>
      </w:rPr>
      <w:t xml:space="preserve">— </w:t>
    </w: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r>
      <w:rPr>
        <w:rStyle w:val="19"/>
        <w:rFonts w:hint="eastAsia"/>
      </w:rPr>
      <w:t xml:space="preserve"> </w:t>
    </w:r>
    <w:r>
      <w:rPr>
        <w:rStyle w:val="19"/>
        <w:rFonts w:hint="eastAsia" w:ascii="仿宋_GB2312"/>
      </w:rPr>
      <w:t>—</w:t>
    </w:r>
  </w:p>
  <w:p>
    <w:pPr>
      <w:pStyle w:val="13"/>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1596" w:wrap="around" w:vAnchor="text" w:hAnchor="page" w:x="1885" w:y="-415"/>
      <w:jc w:val="both"/>
      <w:rPr>
        <w:rStyle w:val="19"/>
      </w:rPr>
    </w:pPr>
    <w:r>
      <w:rPr>
        <w:rStyle w:val="19"/>
        <w:rFonts w:hint="eastAsia" w:ascii="仿宋_GB2312"/>
      </w:rPr>
      <w:t xml:space="preserve">— </w:t>
    </w:r>
    <w:r>
      <w:rPr>
        <w:rStyle w:val="19"/>
      </w:rPr>
      <w:fldChar w:fldCharType="begin"/>
    </w:r>
    <w:r>
      <w:rPr>
        <w:rStyle w:val="19"/>
      </w:rPr>
      <w:instrText xml:space="preserve">PAGE  </w:instrText>
    </w:r>
    <w:r>
      <w:rPr>
        <w:rStyle w:val="19"/>
      </w:rPr>
      <w:fldChar w:fldCharType="separate"/>
    </w:r>
    <w:r>
      <w:rPr>
        <w:rStyle w:val="19"/>
      </w:rPr>
      <w:t>8</w:t>
    </w:r>
    <w:r>
      <w:rPr>
        <w:rStyle w:val="19"/>
      </w:rPr>
      <w:fldChar w:fldCharType="end"/>
    </w:r>
    <w:r>
      <w:rPr>
        <w:rStyle w:val="19"/>
        <w:rFonts w:hint="eastAsia"/>
      </w:rPr>
      <w:t xml:space="preserve"> </w:t>
    </w:r>
    <w:r>
      <w:rPr>
        <w:rStyle w:val="19"/>
        <w:rFonts w:hint="eastAsia" w:ascii="仿宋_GB2312"/>
      </w:rPr>
      <w:t>—</w:t>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08"/>
    <w:rsid w:val="00060091"/>
    <w:rsid w:val="000D55E5"/>
    <w:rsid w:val="00135892"/>
    <w:rsid w:val="00185B2B"/>
    <w:rsid w:val="00385ACC"/>
    <w:rsid w:val="003E5467"/>
    <w:rsid w:val="00417200"/>
    <w:rsid w:val="00440403"/>
    <w:rsid w:val="005D2330"/>
    <w:rsid w:val="005E62B8"/>
    <w:rsid w:val="005E7016"/>
    <w:rsid w:val="006B51AF"/>
    <w:rsid w:val="006E3B72"/>
    <w:rsid w:val="007105E6"/>
    <w:rsid w:val="00797A55"/>
    <w:rsid w:val="007B668E"/>
    <w:rsid w:val="007E2B05"/>
    <w:rsid w:val="008A2C5D"/>
    <w:rsid w:val="008A64CF"/>
    <w:rsid w:val="008C31A7"/>
    <w:rsid w:val="008D2AAE"/>
    <w:rsid w:val="00981ED6"/>
    <w:rsid w:val="009C0FC8"/>
    <w:rsid w:val="00A12908"/>
    <w:rsid w:val="00AD386C"/>
    <w:rsid w:val="00BD1BDE"/>
    <w:rsid w:val="00C007B4"/>
    <w:rsid w:val="00C85755"/>
    <w:rsid w:val="00E3764F"/>
    <w:rsid w:val="00F66C6C"/>
    <w:rsid w:val="00F76155"/>
    <w:rsid w:val="0491498E"/>
    <w:rsid w:val="06464409"/>
    <w:rsid w:val="0B336DFF"/>
    <w:rsid w:val="0E263246"/>
    <w:rsid w:val="21C76D7B"/>
    <w:rsid w:val="273B0F67"/>
    <w:rsid w:val="29037BB1"/>
    <w:rsid w:val="2F427B13"/>
    <w:rsid w:val="2F451A42"/>
    <w:rsid w:val="30AA150A"/>
    <w:rsid w:val="48DF209C"/>
    <w:rsid w:val="491610D7"/>
    <w:rsid w:val="4A1B5080"/>
    <w:rsid w:val="4A8A0C6A"/>
    <w:rsid w:val="50906264"/>
    <w:rsid w:val="5D2B36A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28"/>
    <w:qFormat/>
    <w:uiPriority w:val="9"/>
    <w:pPr>
      <w:keepNext/>
      <w:widowControl/>
      <w:adjustRightInd/>
      <w:snapToGrid/>
      <w:spacing w:before="240" w:after="60" w:line="240" w:lineRule="auto"/>
      <w:jc w:val="left"/>
      <w:outlineLvl w:val="0"/>
    </w:pPr>
    <w:rPr>
      <w:rFonts w:ascii="Cambria" w:hAnsi="Cambria" w:eastAsia="宋体"/>
      <w:b/>
      <w:bCs/>
      <w:spacing w:val="0"/>
      <w:kern w:val="32"/>
      <w:sz w:val="32"/>
      <w:szCs w:val="32"/>
    </w:rPr>
  </w:style>
  <w:style w:type="paragraph" w:styleId="3">
    <w:name w:val="heading 2"/>
    <w:basedOn w:val="1"/>
    <w:next w:val="1"/>
    <w:link w:val="29"/>
    <w:unhideWhenUsed/>
    <w:qFormat/>
    <w:uiPriority w:val="9"/>
    <w:pPr>
      <w:keepNext/>
      <w:widowControl/>
      <w:adjustRightInd/>
      <w:snapToGrid/>
      <w:spacing w:before="240" w:after="60" w:line="240" w:lineRule="auto"/>
      <w:jc w:val="left"/>
      <w:outlineLvl w:val="1"/>
    </w:pPr>
    <w:rPr>
      <w:rFonts w:ascii="Cambria" w:hAnsi="Cambria" w:eastAsia="宋体"/>
      <w:b/>
      <w:bCs/>
      <w:i/>
      <w:iCs/>
      <w:spacing w:val="0"/>
      <w:kern w:val="0"/>
      <w:sz w:val="28"/>
      <w:szCs w:val="28"/>
    </w:rPr>
  </w:style>
  <w:style w:type="paragraph" w:styleId="4">
    <w:name w:val="heading 3"/>
    <w:basedOn w:val="1"/>
    <w:next w:val="1"/>
    <w:link w:val="30"/>
    <w:unhideWhenUsed/>
    <w:qFormat/>
    <w:uiPriority w:val="9"/>
    <w:pPr>
      <w:keepNext/>
      <w:widowControl/>
      <w:adjustRightInd/>
      <w:snapToGrid/>
      <w:spacing w:before="240" w:after="60" w:line="240" w:lineRule="auto"/>
      <w:jc w:val="left"/>
      <w:outlineLvl w:val="2"/>
    </w:pPr>
    <w:rPr>
      <w:rFonts w:ascii="Cambria" w:hAnsi="Cambria" w:eastAsia="宋体"/>
      <w:b/>
      <w:bCs/>
      <w:spacing w:val="0"/>
      <w:kern w:val="0"/>
      <w:sz w:val="26"/>
      <w:szCs w:val="26"/>
    </w:rPr>
  </w:style>
  <w:style w:type="paragraph" w:styleId="5">
    <w:name w:val="heading 4"/>
    <w:basedOn w:val="1"/>
    <w:next w:val="1"/>
    <w:link w:val="31"/>
    <w:unhideWhenUsed/>
    <w:qFormat/>
    <w:uiPriority w:val="9"/>
    <w:pPr>
      <w:keepNext/>
      <w:widowControl/>
      <w:adjustRightInd/>
      <w:snapToGrid/>
      <w:spacing w:before="240" w:after="60" w:line="240" w:lineRule="auto"/>
      <w:jc w:val="left"/>
      <w:outlineLvl w:val="3"/>
    </w:pPr>
    <w:rPr>
      <w:rFonts w:ascii="Times New Roman" w:hAnsi="Times New Roman" w:eastAsia="宋体"/>
      <w:b/>
      <w:bCs/>
      <w:spacing w:val="0"/>
      <w:kern w:val="0"/>
      <w:sz w:val="28"/>
      <w:szCs w:val="28"/>
    </w:rPr>
  </w:style>
  <w:style w:type="paragraph" w:styleId="6">
    <w:name w:val="heading 5"/>
    <w:basedOn w:val="1"/>
    <w:next w:val="1"/>
    <w:link w:val="32"/>
    <w:unhideWhenUsed/>
    <w:qFormat/>
    <w:uiPriority w:val="9"/>
    <w:pPr>
      <w:widowControl/>
      <w:adjustRightInd/>
      <w:snapToGrid/>
      <w:spacing w:before="240" w:after="60" w:line="240" w:lineRule="auto"/>
      <w:jc w:val="left"/>
      <w:outlineLvl w:val="4"/>
    </w:pPr>
    <w:rPr>
      <w:rFonts w:ascii="Times New Roman" w:hAnsi="Times New Roman" w:eastAsia="宋体"/>
      <w:b/>
      <w:bCs/>
      <w:i/>
      <w:iCs/>
      <w:spacing w:val="0"/>
      <w:kern w:val="0"/>
      <w:sz w:val="26"/>
      <w:szCs w:val="26"/>
    </w:rPr>
  </w:style>
  <w:style w:type="paragraph" w:styleId="7">
    <w:name w:val="heading 6"/>
    <w:basedOn w:val="1"/>
    <w:next w:val="1"/>
    <w:link w:val="33"/>
    <w:unhideWhenUsed/>
    <w:qFormat/>
    <w:uiPriority w:val="9"/>
    <w:pPr>
      <w:widowControl/>
      <w:adjustRightInd/>
      <w:snapToGrid/>
      <w:spacing w:before="240" w:after="60" w:line="240" w:lineRule="auto"/>
      <w:jc w:val="left"/>
      <w:outlineLvl w:val="5"/>
    </w:pPr>
    <w:rPr>
      <w:rFonts w:ascii="Times New Roman" w:hAnsi="Times New Roman" w:eastAsia="宋体"/>
      <w:b/>
      <w:bCs/>
      <w:spacing w:val="0"/>
      <w:kern w:val="0"/>
      <w:sz w:val="20"/>
      <w:szCs w:val="20"/>
    </w:rPr>
  </w:style>
  <w:style w:type="paragraph" w:styleId="8">
    <w:name w:val="heading 7"/>
    <w:basedOn w:val="1"/>
    <w:next w:val="1"/>
    <w:link w:val="34"/>
    <w:unhideWhenUsed/>
    <w:qFormat/>
    <w:uiPriority w:val="9"/>
    <w:pPr>
      <w:widowControl/>
      <w:adjustRightInd/>
      <w:snapToGrid/>
      <w:spacing w:before="240" w:after="60" w:line="240" w:lineRule="auto"/>
      <w:jc w:val="left"/>
      <w:outlineLvl w:val="6"/>
    </w:pPr>
    <w:rPr>
      <w:rFonts w:ascii="Times New Roman" w:hAnsi="Times New Roman" w:eastAsia="宋体"/>
      <w:spacing w:val="0"/>
      <w:kern w:val="0"/>
      <w:sz w:val="24"/>
    </w:rPr>
  </w:style>
  <w:style w:type="paragraph" w:styleId="9">
    <w:name w:val="heading 8"/>
    <w:basedOn w:val="1"/>
    <w:next w:val="1"/>
    <w:link w:val="35"/>
    <w:unhideWhenUsed/>
    <w:qFormat/>
    <w:uiPriority w:val="9"/>
    <w:pPr>
      <w:widowControl/>
      <w:adjustRightInd/>
      <w:snapToGrid/>
      <w:spacing w:before="240" w:after="60" w:line="240" w:lineRule="auto"/>
      <w:jc w:val="left"/>
      <w:outlineLvl w:val="7"/>
    </w:pPr>
    <w:rPr>
      <w:rFonts w:ascii="Times New Roman" w:hAnsi="Times New Roman" w:eastAsia="宋体"/>
      <w:i/>
      <w:iCs/>
      <w:spacing w:val="0"/>
      <w:kern w:val="0"/>
      <w:sz w:val="24"/>
    </w:rPr>
  </w:style>
  <w:style w:type="paragraph" w:styleId="10">
    <w:name w:val="heading 9"/>
    <w:basedOn w:val="1"/>
    <w:next w:val="1"/>
    <w:link w:val="36"/>
    <w:unhideWhenUsed/>
    <w:qFormat/>
    <w:uiPriority w:val="9"/>
    <w:pPr>
      <w:widowControl/>
      <w:adjustRightInd/>
      <w:snapToGrid/>
      <w:spacing w:before="240" w:after="60" w:line="240" w:lineRule="auto"/>
      <w:jc w:val="left"/>
      <w:outlineLvl w:val="8"/>
    </w:pPr>
    <w:rPr>
      <w:rFonts w:ascii="Cambria" w:hAnsi="Cambria" w:eastAsia="宋体"/>
      <w:spacing w:val="0"/>
      <w:kern w:val="0"/>
      <w:sz w:val="20"/>
      <w:szCs w:val="20"/>
    </w:rPr>
  </w:style>
  <w:style w:type="character" w:default="1" w:styleId="17">
    <w:name w:val="Default Paragraph Font"/>
    <w:unhideWhenUsed/>
    <w:qFormat/>
    <w:uiPriority w:val="1"/>
  </w:style>
  <w:style w:type="table" w:default="1" w:styleId="21">
    <w:name w:val="Normal Table"/>
    <w:unhideWhenUsed/>
    <w:uiPriority w:val="99"/>
    <w:tblPr>
      <w:tblLayout w:type="fixed"/>
      <w:tblCellMar>
        <w:top w:w="0" w:type="dxa"/>
        <w:left w:w="108" w:type="dxa"/>
        <w:bottom w:w="0" w:type="dxa"/>
        <w:right w:w="108" w:type="dxa"/>
      </w:tblCellMar>
    </w:tblPr>
    <w:tcPr>
      <w:textDirection w:val="lrTb"/>
    </w:tcPr>
  </w:style>
  <w:style w:type="paragraph" w:styleId="11">
    <w:name w:val="Body Text"/>
    <w:basedOn w:val="1"/>
    <w:link w:val="48"/>
    <w:uiPriority w:val="0"/>
  </w:style>
  <w:style w:type="paragraph" w:styleId="12">
    <w:name w:val="Balloon Text"/>
    <w:basedOn w:val="1"/>
    <w:link w:val="49"/>
    <w:unhideWhenUsed/>
    <w:uiPriority w:val="0"/>
    <w:pPr>
      <w:spacing w:line="240" w:lineRule="auto"/>
    </w:pPr>
    <w:rPr>
      <w:sz w:val="18"/>
      <w:szCs w:val="18"/>
    </w:rPr>
  </w:style>
  <w:style w:type="paragraph" w:styleId="13">
    <w:name w:val="footer"/>
    <w:basedOn w:val="1"/>
    <w:link w:val="47"/>
    <w:unhideWhenUsed/>
    <w:uiPriority w:val="99"/>
    <w:pPr>
      <w:widowControl/>
      <w:tabs>
        <w:tab w:val="center" w:pos="4153"/>
        <w:tab w:val="right" w:pos="8306"/>
      </w:tabs>
      <w:adjustRightInd/>
      <w:spacing w:line="240" w:lineRule="auto"/>
      <w:jc w:val="left"/>
    </w:pPr>
    <w:rPr>
      <w:rFonts w:ascii="Times New Roman" w:hAnsi="Times New Roman" w:eastAsia="宋体"/>
      <w:spacing w:val="0"/>
      <w:kern w:val="0"/>
      <w:sz w:val="18"/>
      <w:szCs w:val="18"/>
    </w:rPr>
  </w:style>
  <w:style w:type="paragraph" w:styleId="14">
    <w:name w:val="header"/>
    <w:basedOn w:val="1"/>
    <w:link w:val="46"/>
    <w:unhideWhenUsed/>
    <w:uiPriority w:val="99"/>
    <w:pPr>
      <w:widowControl/>
      <w:pBdr>
        <w:bottom w:val="single" w:color="auto" w:sz="6" w:space="1"/>
      </w:pBdr>
      <w:tabs>
        <w:tab w:val="center" w:pos="4153"/>
        <w:tab w:val="right" w:pos="8306"/>
      </w:tabs>
      <w:adjustRightInd/>
      <w:spacing w:line="240" w:lineRule="auto"/>
      <w:jc w:val="center"/>
    </w:pPr>
    <w:rPr>
      <w:rFonts w:ascii="Times New Roman" w:hAnsi="Times New Roman" w:eastAsia="宋体"/>
      <w:spacing w:val="0"/>
      <w:kern w:val="0"/>
      <w:sz w:val="18"/>
      <w:szCs w:val="18"/>
    </w:rPr>
  </w:style>
  <w:style w:type="paragraph" w:styleId="15">
    <w:name w:val="Subtitle"/>
    <w:basedOn w:val="1"/>
    <w:next w:val="1"/>
    <w:link w:val="38"/>
    <w:qFormat/>
    <w:uiPriority w:val="11"/>
    <w:pPr>
      <w:widowControl/>
      <w:adjustRightInd/>
      <w:snapToGrid/>
      <w:spacing w:after="60" w:line="240" w:lineRule="auto"/>
      <w:jc w:val="center"/>
      <w:outlineLvl w:val="1"/>
    </w:pPr>
    <w:rPr>
      <w:rFonts w:ascii="Cambria" w:hAnsi="Cambria" w:eastAsia="宋体"/>
      <w:spacing w:val="0"/>
      <w:kern w:val="0"/>
      <w:sz w:val="24"/>
    </w:rPr>
  </w:style>
  <w:style w:type="paragraph" w:styleId="16">
    <w:name w:val="Title"/>
    <w:basedOn w:val="1"/>
    <w:next w:val="1"/>
    <w:link w:val="37"/>
    <w:qFormat/>
    <w:uiPriority w:val="10"/>
    <w:pPr>
      <w:widowControl/>
      <w:adjustRightInd/>
      <w:snapToGrid/>
      <w:spacing w:before="240" w:after="60" w:line="240" w:lineRule="auto"/>
      <w:jc w:val="center"/>
      <w:outlineLvl w:val="0"/>
    </w:pPr>
    <w:rPr>
      <w:rFonts w:ascii="Cambria" w:hAnsi="Cambria" w:eastAsia="宋体"/>
      <w:b/>
      <w:bCs/>
      <w:spacing w:val="0"/>
      <w:kern w:val="28"/>
      <w:sz w:val="32"/>
      <w:szCs w:val="32"/>
    </w:rPr>
  </w:style>
  <w:style w:type="character" w:styleId="18">
    <w:name w:val="Strong"/>
    <w:qFormat/>
    <w:uiPriority w:val="22"/>
    <w:rPr>
      <w:b/>
      <w:bCs/>
    </w:rPr>
  </w:style>
  <w:style w:type="character" w:styleId="19">
    <w:name w:val="page number"/>
    <w:basedOn w:val="17"/>
    <w:uiPriority w:val="0"/>
  </w:style>
  <w:style w:type="character" w:styleId="20">
    <w:name w:val="Emphasis"/>
    <w:qFormat/>
    <w:uiPriority w:val="20"/>
    <w:rPr>
      <w:rFonts w:ascii="Calibri" w:hAnsi="Calibri"/>
      <w:b/>
      <w:i/>
      <w:iCs/>
    </w:rPr>
  </w:style>
  <w:style w:type="paragraph" w:customStyle="1" w:styleId="22">
    <w:name w:val="列出段落1"/>
    <w:basedOn w:val="1"/>
    <w:qFormat/>
    <w:uiPriority w:val="34"/>
    <w:pPr>
      <w:widowControl/>
      <w:adjustRightInd/>
      <w:snapToGrid/>
      <w:spacing w:line="240" w:lineRule="auto"/>
      <w:ind w:left="720"/>
      <w:contextualSpacing/>
      <w:jc w:val="left"/>
    </w:pPr>
    <w:rPr>
      <w:rFonts w:ascii="Calibri" w:hAnsi="Calibri" w:eastAsia="宋体"/>
      <w:spacing w:val="0"/>
      <w:kern w:val="0"/>
      <w:sz w:val="24"/>
    </w:rPr>
  </w:style>
  <w:style w:type="paragraph" w:customStyle="1" w:styleId="23">
    <w:name w:val="无间隔1"/>
    <w:basedOn w:val="1"/>
    <w:qFormat/>
    <w:uiPriority w:val="1"/>
    <w:pPr>
      <w:widowControl/>
      <w:adjustRightInd/>
      <w:snapToGrid/>
      <w:spacing w:line="240" w:lineRule="auto"/>
      <w:jc w:val="left"/>
    </w:pPr>
    <w:rPr>
      <w:rFonts w:ascii="Calibri" w:hAnsi="Calibri" w:eastAsia="宋体"/>
      <w:spacing w:val="0"/>
      <w:kern w:val="0"/>
      <w:sz w:val="24"/>
      <w:szCs w:val="32"/>
    </w:rPr>
  </w:style>
  <w:style w:type="paragraph" w:customStyle="1" w:styleId="24">
    <w:name w:val="引用1"/>
    <w:basedOn w:val="1"/>
    <w:next w:val="1"/>
    <w:link w:val="39"/>
    <w:qFormat/>
    <w:uiPriority w:val="29"/>
    <w:pPr>
      <w:widowControl/>
      <w:adjustRightInd/>
      <w:snapToGrid/>
      <w:spacing w:line="240" w:lineRule="auto"/>
      <w:jc w:val="left"/>
    </w:pPr>
    <w:rPr>
      <w:rFonts w:ascii="Times New Roman" w:hAnsi="Times New Roman" w:eastAsia="宋体"/>
      <w:i/>
      <w:spacing w:val="0"/>
      <w:kern w:val="0"/>
      <w:sz w:val="24"/>
    </w:rPr>
  </w:style>
  <w:style w:type="paragraph" w:customStyle="1" w:styleId="25">
    <w:name w:val="明显引用1"/>
    <w:basedOn w:val="1"/>
    <w:next w:val="1"/>
    <w:link w:val="40"/>
    <w:qFormat/>
    <w:uiPriority w:val="30"/>
    <w:pPr>
      <w:widowControl/>
      <w:adjustRightInd/>
      <w:snapToGrid/>
      <w:spacing w:line="240" w:lineRule="auto"/>
      <w:ind w:left="720" w:right="720"/>
      <w:jc w:val="left"/>
    </w:pPr>
    <w:rPr>
      <w:rFonts w:ascii="Times New Roman" w:hAnsi="Times New Roman" w:eastAsia="宋体"/>
      <w:b/>
      <w:i/>
      <w:spacing w:val="0"/>
      <w:kern w:val="0"/>
      <w:sz w:val="24"/>
      <w:szCs w:val="20"/>
    </w:rPr>
  </w:style>
  <w:style w:type="paragraph" w:customStyle="1" w:styleId="26">
    <w:name w:val="TOC 标题1"/>
    <w:basedOn w:val="2"/>
    <w:next w:val="1"/>
    <w:unhideWhenUsed/>
    <w:qFormat/>
    <w:uiPriority w:val="39"/>
    <w:pPr>
      <w:outlineLvl w:val="9"/>
    </w:pPr>
  </w:style>
  <w:style w:type="paragraph" w:customStyle="1" w:styleId="27">
    <w:name w:val="_Style 20"/>
    <w:basedOn w:val="1"/>
    <w:qFormat/>
    <w:uiPriority w:val="34"/>
    <w:pPr>
      <w:ind w:firstLine="420" w:firstLineChars="200"/>
    </w:pPr>
  </w:style>
  <w:style w:type="character" w:customStyle="1" w:styleId="28">
    <w:name w:val="标题 1 Char"/>
    <w:link w:val="2"/>
    <w:uiPriority w:val="9"/>
    <w:rPr>
      <w:rFonts w:ascii="Cambria" w:hAnsi="Cambria" w:eastAsia="宋体" w:cs="黑体"/>
      <w:b/>
      <w:bCs/>
      <w:kern w:val="32"/>
      <w:sz w:val="32"/>
      <w:szCs w:val="32"/>
    </w:rPr>
  </w:style>
  <w:style w:type="character" w:customStyle="1" w:styleId="29">
    <w:name w:val="标题 2 Char"/>
    <w:link w:val="3"/>
    <w:semiHidden/>
    <w:uiPriority w:val="9"/>
    <w:rPr>
      <w:rFonts w:ascii="Cambria" w:hAnsi="Cambria" w:eastAsia="宋体" w:cs="黑体"/>
      <w:b/>
      <w:bCs/>
      <w:i/>
      <w:iCs/>
      <w:sz w:val="28"/>
      <w:szCs w:val="28"/>
    </w:rPr>
  </w:style>
  <w:style w:type="character" w:customStyle="1" w:styleId="30">
    <w:name w:val="标题 3 Char"/>
    <w:link w:val="4"/>
    <w:semiHidden/>
    <w:uiPriority w:val="9"/>
    <w:rPr>
      <w:rFonts w:ascii="Cambria" w:hAnsi="Cambria" w:eastAsia="宋体" w:cs="黑体"/>
      <w:b/>
      <w:bCs/>
      <w:sz w:val="26"/>
      <w:szCs w:val="26"/>
    </w:rPr>
  </w:style>
  <w:style w:type="character" w:customStyle="1" w:styleId="31">
    <w:name w:val="标题 4 Char"/>
    <w:link w:val="5"/>
    <w:semiHidden/>
    <w:uiPriority w:val="9"/>
    <w:rPr>
      <w:rFonts w:cs="黑体"/>
      <w:b/>
      <w:bCs/>
      <w:sz w:val="28"/>
      <w:szCs w:val="28"/>
    </w:rPr>
  </w:style>
  <w:style w:type="character" w:customStyle="1" w:styleId="32">
    <w:name w:val="标题 5 Char"/>
    <w:link w:val="6"/>
    <w:semiHidden/>
    <w:uiPriority w:val="9"/>
    <w:rPr>
      <w:rFonts w:cs="黑体"/>
      <w:b/>
      <w:bCs/>
      <w:i/>
      <w:iCs/>
      <w:sz w:val="26"/>
      <w:szCs w:val="26"/>
    </w:rPr>
  </w:style>
  <w:style w:type="character" w:customStyle="1" w:styleId="33">
    <w:name w:val="标题 6 Char"/>
    <w:link w:val="7"/>
    <w:semiHidden/>
    <w:uiPriority w:val="9"/>
    <w:rPr>
      <w:rFonts w:cs="黑体"/>
      <w:b/>
      <w:bCs/>
    </w:rPr>
  </w:style>
  <w:style w:type="character" w:customStyle="1" w:styleId="34">
    <w:name w:val="标题 7 Char"/>
    <w:link w:val="8"/>
    <w:semiHidden/>
    <w:uiPriority w:val="9"/>
    <w:rPr>
      <w:rFonts w:cs="黑体"/>
      <w:sz w:val="24"/>
      <w:szCs w:val="24"/>
    </w:rPr>
  </w:style>
  <w:style w:type="character" w:customStyle="1" w:styleId="35">
    <w:name w:val="标题 8 Char"/>
    <w:link w:val="9"/>
    <w:semiHidden/>
    <w:uiPriority w:val="9"/>
    <w:rPr>
      <w:rFonts w:cs="黑体"/>
      <w:i/>
      <w:iCs/>
      <w:sz w:val="24"/>
      <w:szCs w:val="24"/>
    </w:rPr>
  </w:style>
  <w:style w:type="character" w:customStyle="1" w:styleId="36">
    <w:name w:val="标题 9 Char"/>
    <w:link w:val="10"/>
    <w:semiHidden/>
    <w:uiPriority w:val="9"/>
    <w:rPr>
      <w:rFonts w:ascii="Cambria" w:hAnsi="Cambria" w:eastAsia="宋体" w:cs="黑体"/>
    </w:rPr>
  </w:style>
  <w:style w:type="character" w:customStyle="1" w:styleId="37">
    <w:name w:val="标题 Char"/>
    <w:link w:val="16"/>
    <w:uiPriority w:val="10"/>
    <w:rPr>
      <w:rFonts w:ascii="Cambria" w:hAnsi="Cambria" w:eastAsia="宋体" w:cs="黑体"/>
      <w:b/>
      <w:bCs/>
      <w:kern w:val="28"/>
      <w:sz w:val="32"/>
      <w:szCs w:val="32"/>
    </w:rPr>
  </w:style>
  <w:style w:type="character" w:customStyle="1" w:styleId="38">
    <w:name w:val="副标题 Char"/>
    <w:link w:val="15"/>
    <w:uiPriority w:val="11"/>
    <w:rPr>
      <w:rFonts w:ascii="Cambria" w:hAnsi="Cambria" w:eastAsia="宋体" w:cs="黑体"/>
      <w:sz w:val="24"/>
      <w:szCs w:val="24"/>
    </w:rPr>
  </w:style>
  <w:style w:type="character" w:customStyle="1" w:styleId="39">
    <w:name w:val="引用 Char"/>
    <w:link w:val="24"/>
    <w:uiPriority w:val="29"/>
    <w:rPr>
      <w:i/>
      <w:sz w:val="24"/>
      <w:szCs w:val="24"/>
    </w:rPr>
  </w:style>
  <w:style w:type="character" w:customStyle="1" w:styleId="40">
    <w:name w:val="明显引用 Char"/>
    <w:link w:val="25"/>
    <w:uiPriority w:val="30"/>
    <w:rPr>
      <w:b/>
      <w:i/>
      <w:sz w:val="24"/>
    </w:rPr>
  </w:style>
  <w:style w:type="character" w:customStyle="1" w:styleId="41">
    <w:name w:val="不明显强调1"/>
    <w:qFormat/>
    <w:uiPriority w:val="19"/>
    <w:rPr>
      <w:i/>
      <w:color w:val="595959"/>
    </w:rPr>
  </w:style>
  <w:style w:type="character" w:customStyle="1" w:styleId="42">
    <w:name w:val="明显强调1"/>
    <w:qFormat/>
    <w:uiPriority w:val="21"/>
    <w:rPr>
      <w:b/>
      <w:i/>
      <w:sz w:val="24"/>
      <w:szCs w:val="24"/>
      <w:u w:val="single"/>
    </w:rPr>
  </w:style>
  <w:style w:type="character" w:customStyle="1" w:styleId="43">
    <w:name w:val="不明显参考1"/>
    <w:qFormat/>
    <w:uiPriority w:val="31"/>
    <w:rPr>
      <w:sz w:val="24"/>
      <w:szCs w:val="24"/>
      <w:u w:val="single"/>
    </w:rPr>
  </w:style>
  <w:style w:type="character" w:customStyle="1" w:styleId="44">
    <w:name w:val="明显参考1"/>
    <w:qFormat/>
    <w:uiPriority w:val="32"/>
    <w:rPr>
      <w:b/>
      <w:sz w:val="24"/>
      <w:u w:val="single"/>
    </w:rPr>
  </w:style>
  <w:style w:type="character" w:customStyle="1" w:styleId="45">
    <w:name w:val="书籍标题1"/>
    <w:qFormat/>
    <w:uiPriority w:val="33"/>
    <w:rPr>
      <w:rFonts w:ascii="Cambria" w:hAnsi="Cambria" w:eastAsia="宋体"/>
      <w:b/>
      <w:i/>
      <w:sz w:val="24"/>
      <w:szCs w:val="24"/>
    </w:rPr>
  </w:style>
  <w:style w:type="character" w:customStyle="1" w:styleId="46">
    <w:name w:val="页眉 Char"/>
    <w:link w:val="14"/>
    <w:qFormat/>
    <w:uiPriority w:val="99"/>
    <w:rPr>
      <w:sz w:val="18"/>
      <w:szCs w:val="18"/>
    </w:rPr>
  </w:style>
  <w:style w:type="character" w:customStyle="1" w:styleId="47">
    <w:name w:val="页脚 Char"/>
    <w:link w:val="13"/>
    <w:uiPriority w:val="99"/>
    <w:rPr>
      <w:sz w:val="18"/>
      <w:szCs w:val="18"/>
    </w:rPr>
  </w:style>
  <w:style w:type="character" w:customStyle="1" w:styleId="48">
    <w:name w:val="正文文本 Char"/>
    <w:link w:val="11"/>
    <w:uiPriority w:val="0"/>
    <w:rPr>
      <w:rFonts w:ascii="宋体" w:hAnsi="宋体" w:eastAsia="仿宋_GB2312"/>
      <w:spacing w:val="6"/>
      <w:kern w:val="2"/>
      <w:sz w:val="30"/>
      <w:szCs w:val="24"/>
    </w:rPr>
  </w:style>
  <w:style w:type="character" w:customStyle="1" w:styleId="49">
    <w:name w:val="批注框文本 Char"/>
    <w:link w:val="12"/>
    <w:semiHidden/>
    <w:uiPriority w:val="0"/>
    <w:rPr>
      <w:rFonts w:ascii="宋体" w:hAnsi="宋体" w:eastAsia="仿宋_GB2312"/>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651</Words>
  <Characters>3714</Characters>
  <Lines>30</Lines>
  <Paragraphs>8</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2015-05-25T06:43:00Z</dcterms:created>
  <dc:creator>杜斯达</dc:creator>
  <cp:lastModifiedBy>lenovo</cp:lastModifiedBy>
  <cp:lastPrinted>2015-08-04T01:45:00Z</cp:lastPrinted>
  <dcterms:modified xsi:type="dcterms:W3CDTF">2015-11-09T03:22:13Z</dcterms:modified>
  <dc:title>中评协〔2015〕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