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ascii="黑体" w:eastAsia="黑体"/>
          <w:spacing w:val="-2"/>
          <w:sz w:val="32"/>
        </w:rPr>
      </w:pPr>
      <w:bookmarkStart w:id="0" w:name="_Toc332433906"/>
      <w:bookmarkStart w:id="2" w:name="_GoBack"/>
      <w:bookmarkEnd w:id="2"/>
      <w:r>
        <w:rPr>
          <w:rFonts w:hint="eastAsia" w:ascii="黑体" w:eastAsia="黑体"/>
          <w:spacing w:val="-2"/>
          <w:sz w:val="32"/>
        </w:rPr>
        <w:t>附件</w:t>
      </w:r>
    </w:p>
    <w:p>
      <w:pPr>
        <w:spacing w:line="540" w:lineRule="atLeast"/>
        <w:ind w:firstLine="872" w:firstLineChars="200"/>
        <w:jc w:val="center"/>
        <w:rPr>
          <w:rFonts w:ascii="华文中宋" w:hAnsi="华文中宋" w:eastAsia="华文中宋"/>
          <w:spacing w:val="-2"/>
          <w:sz w:val="44"/>
          <w:szCs w:val="44"/>
        </w:rPr>
      </w:pPr>
    </w:p>
    <w:bookmarkEnd w:id="0"/>
    <w:p>
      <w:pPr>
        <w:spacing w:line="440" w:lineRule="atLeast"/>
        <w:jc w:val="center"/>
        <w:rPr>
          <w:rFonts w:ascii="华文中宋" w:hAnsi="华文中宋" w:eastAsia="华文中宋"/>
          <w:b/>
          <w:bCs/>
          <w:spacing w:val="-2"/>
          <w:sz w:val="44"/>
          <w:szCs w:val="44"/>
        </w:rPr>
      </w:pPr>
      <w:r>
        <w:rPr>
          <w:rFonts w:hint="eastAsia" w:ascii="华文中宋" w:hAnsi="华文中宋" w:eastAsia="华文中宋"/>
          <w:b/>
          <w:bCs/>
          <w:spacing w:val="-2"/>
          <w:sz w:val="44"/>
          <w:szCs w:val="44"/>
        </w:rPr>
        <w:t>资产评估专家指引第3</w:t>
      </w:r>
      <w:r>
        <w:rPr>
          <w:rFonts w:ascii="华文中宋" w:hAnsi="华文中宋" w:eastAsia="华文中宋"/>
          <w:b/>
          <w:bCs/>
          <w:spacing w:val="-2"/>
          <w:sz w:val="44"/>
          <w:szCs w:val="44"/>
        </w:rPr>
        <w:t>号</w:t>
      </w:r>
      <w:r>
        <w:rPr>
          <w:rFonts w:hint="eastAsia" w:ascii="华文中宋" w:hAnsi="华文中宋" w:eastAsia="华文中宋"/>
          <w:b/>
          <w:bCs/>
          <w:spacing w:val="-2"/>
          <w:sz w:val="44"/>
          <w:szCs w:val="44"/>
        </w:rPr>
        <w:t>——</w:t>
      </w:r>
      <w:r>
        <w:rPr>
          <w:rFonts w:ascii="华文中宋" w:hAnsi="华文中宋" w:eastAsia="华文中宋"/>
          <w:b/>
          <w:bCs/>
          <w:spacing w:val="-2"/>
          <w:sz w:val="44"/>
          <w:szCs w:val="44"/>
        </w:rPr>
        <w:t>金融企业</w:t>
      </w:r>
    </w:p>
    <w:p>
      <w:pPr>
        <w:spacing w:line="440" w:lineRule="atLeast"/>
        <w:jc w:val="center"/>
        <w:rPr>
          <w:rFonts w:ascii="华文中宋" w:hAnsi="华文中宋" w:eastAsia="华文中宋"/>
          <w:b/>
          <w:bCs/>
          <w:spacing w:val="-2"/>
          <w:sz w:val="44"/>
          <w:szCs w:val="44"/>
        </w:rPr>
      </w:pPr>
      <w:r>
        <w:rPr>
          <w:rFonts w:ascii="华文中宋" w:hAnsi="华文中宋" w:eastAsia="华文中宋"/>
          <w:b/>
          <w:bCs/>
          <w:spacing w:val="-2"/>
          <w:sz w:val="44"/>
          <w:szCs w:val="44"/>
        </w:rPr>
        <w:t>收益法评估模型与参数确定</w:t>
      </w:r>
    </w:p>
    <w:p>
      <w:pPr>
        <w:spacing w:line="360" w:lineRule="auto"/>
        <w:rPr>
          <w:rFonts w:ascii="Times New Roman" w:hAnsi="Times New Roman" w:eastAsia="宋体"/>
          <w:spacing w:val="-2"/>
          <w:sz w:val="32"/>
          <w:szCs w:val="32"/>
        </w:rPr>
      </w:pPr>
    </w:p>
    <w:p>
      <w:pPr>
        <w:ind w:firstLine="664" w:firstLineChars="200"/>
        <w:rPr>
          <w:rFonts w:ascii="仿宋_GB2312"/>
          <w:sz w:val="32"/>
          <w:szCs w:val="32"/>
        </w:rPr>
      </w:pPr>
      <w:r>
        <w:rPr>
          <w:rFonts w:hint="eastAsia" w:ascii="仿宋_GB2312"/>
          <w:sz w:val="32"/>
          <w:szCs w:val="32"/>
        </w:rPr>
        <w:t>本专家指引是一种专家建议。评估机构执行资产评估业务，可以参照本专家指引，也可以根据具体情况采用其他适当的做法。中国资产评估协会将根据业务发展，对本专家指引进行更新。</w:t>
      </w:r>
    </w:p>
    <w:p>
      <w:pPr>
        <w:spacing w:line="400" w:lineRule="exact"/>
        <w:ind w:firstLine="636" w:firstLineChars="200"/>
        <w:rPr>
          <w:rFonts w:ascii="Times New Roman" w:hAnsi="Times New Roman"/>
          <w:spacing w:val="-1"/>
          <w:sz w:val="32"/>
          <w:szCs w:val="32"/>
          <w:lang w:val="zh-TW"/>
        </w:rPr>
      </w:pPr>
    </w:p>
    <w:p>
      <w:pPr>
        <w:spacing w:line="360" w:lineRule="auto"/>
        <w:ind w:firstLine="638" w:firstLineChars="200"/>
        <w:outlineLvl w:val="0"/>
        <w:rPr>
          <w:rFonts w:ascii="Times New Roman" w:hAnsi="Times New Roman"/>
          <w:b/>
          <w:spacing w:val="-1"/>
          <w:sz w:val="32"/>
          <w:szCs w:val="32"/>
          <w:lang w:val="zh-TW" w:eastAsia="zh-TW"/>
        </w:rPr>
      </w:pPr>
      <w:r>
        <w:rPr>
          <w:rFonts w:ascii="Times New Roman" w:hAnsi="Times New Roman"/>
          <w:b/>
          <w:spacing w:val="-1"/>
          <w:sz w:val="32"/>
          <w:szCs w:val="32"/>
          <w:lang w:val="zh-TW" w:eastAsia="zh-TW"/>
        </w:rPr>
        <w:t>一、</w:t>
      </w:r>
      <w:r>
        <w:rPr>
          <w:rFonts w:hint="eastAsia" w:ascii="Times New Roman" w:hAnsi="Times New Roman"/>
          <w:b/>
          <w:spacing w:val="-1"/>
          <w:sz w:val="32"/>
          <w:szCs w:val="32"/>
          <w:lang w:val="zh-TW"/>
        </w:rPr>
        <w:t>引言</w:t>
      </w:r>
    </w:p>
    <w:p>
      <w:pPr>
        <w:spacing w:line="360" w:lineRule="auto"/>
        <w:ind w:firstLine="636" w:firstLineChars="200"/>
        <w:rPr>
          <w:rFonts w:ascii="Times New Roman" w:hAnsi="Times New Roman"/>
          <w:spacing w:val="-1"/>
          <w:sz w:val="32"/>
          <w:szCs w:val="32"/>
          <w:lang w:val="zh-TW" w:eastAsia="zh-TW"/>
        </w:rPr>
      </w:pPr>
      <w:r>
        <w:rPr>
          <w:rFonts w:ascii="Times New Roman" w:hAnsi="Times New Roman"/>
          <w:spacing w:val="-1"/>
          <w:sz w:val="32"/>
          <w:szCs w:val="32"/>
          <w:lang w:val="zh-TW" w:eastAsia="zh-TW"/>
        </w:rPr>
        <w:t>第一条</w:t>
      </w:r>
      <w:r>
        <w:rPr>
          <w:rFonts w:hint="eastAsia" w:ascii="Times New Roman" w:hAnsi="Times New Roman"/>
          <w:spacing w:val="-1"/>
          <w:sz w:val="32"/>
          <w:szCs w:val="32"/>
          <w:lang w:val="zh-TW"/>
        </w:rPr>
        <w:t xml:space="preserve">  </w:t>
      </w:r>
      <w:r>
        <w:rPr>
          <w:rFonts w:ascii="Times New Roman" w:hAnsi="Times New Roman"/>
          <w:spacing w:val="-1"/>
          <w:sz w:val="32"/>
          <w:szCs w:val="32"/>
          <w:lang w:val="zh-TW" w:eastAsia="zh-TW"/>
        </w:rPr>
        <w:t>为指导评估机构运用收益法对金融企业进行评估，中国资产评估协会组织制定了本</w:t>
      </w:r>
      <w:r>
        <w:rPr>
          <w:rFonts w:hint="eastAsia" w:ascii="Times New Roman" w:hAnsi="Times New Roman"/>
          <w:spacing w:val="-1"/>
          <w:sz w:val="32"/>
          <w:szCs w:val="32"/>
          <w:lang w:val="zh-TW"/>
        </w:rPr>
        <w:t>专家指引</w:t>
      </w:r>
      <w:r>
        <w:rPr>
          <w:rFonts w:ascii="Times New Roman" w:hAnsi="Times New Roman"/>
          <w:spacing w:val="-1"/>
          <w:sz w:val="32"/>
          <w:szCs w:val="32"/>
          <w:lang w:val="zh-TW" w:eastAsia="zh-TW"/>
        </w:rPr>
        <w:t>。</w:t>
      </w:r>
    </w:p>
    <w:p>
      <w:pPr>
        <w:spacing w:line="360" w:lineRule="auto"/>
        <w:ind w:firstLine="636" w:firstLineChars="200"/>
        <w:rPr>
          <w:rFonts w:ascii="Times New Roman" w:hAnsi="Times New Roman"/>
          <w:spacing w:val="-1"/>
          <w:sz w:val="32"/>
          <w:szCs w:val="32"/>
          <w:lang w:val="zh-TW" w:eastAsia="zh-TW"/>
        </w:rPr>
      </w:pPr>
      <w:r>
        <w:rPr>
          <w:rFonts w:ascii="Times New Roman" w:hAnsi="Times New Roman"/>
          <w:spacing w:val="-1"/>
          <w:sz w:val="32"/>
          <w:szCs w:val="32"/>
          <w:lang w:val="zh-TW" w:eastAsia="zh-TW"/>
        </w:rPr>
        <w:t>第</w:t>
      </w:r>
      <w:r>
        <w:rPr>
          <w:rFonts w:hint="eastAsia" w:ascii="Times New Roman" w:hAnsi="Times New Roman"/>
          <w:spacing w:val="-1"/>
          <w:sz w:val="32"/>
          <w:szCs w:val="32"/>
          <w:lang w:val="zh-TW"/>
        </w:rPr>
        <w:t>二</w:t>
      </w:r>
      <w:r>
        <w:rPr>
          <w:rFonts w:ascii="Times New Roman" w:hAnsi="Times New Roman"/>
          <w:spacing w:val="-1"/>
          <w:sz w:val="32"/>
          <w:szCs w:val="32"/>
          <w:lang w:val="zh-TW" w:eastAsia="zh-TW"/>
        </w:rPr>
        <w:t xml:space="preserve">条 </w:t>
      </w:r>
      <w:r>
        <w:rPr>
          <w:rFonts w:hint="eastAsia" w:ascii="Times New Roman" w:hAnsi="Times New Roman"/>
          <w:spacing w:val="-1"/>
          <w:sz w:val="32"/>
          <w:szCs w:val="32"/>
          <w:lang w:val="zh-TW"/>
        </w:rPr>
        <w:t xml:space="preserve"> 资产评估师</w:t>
      </w:r>
      <w:r>
        <w:rPr>
          <w:rFonts w:ascii="Times New Roman" w:hAnsi="Times New Roman"/>
          <w:spacing w:val="-1"/>
          <w:sz w:val="32"/>
          <w:szCs w:val="32"/>
          <w:lang w:val="zh-TW" w:eastAsia="zh-TW"/>
        </w:rPr>
        <w:t>应知晓不同类型的金融企业</w:t>
      </w:r>
      <w:r>
        <w:rPr>
          <w:rFonts w:ascii="Times New Roman" w:hAnsi="Times New Roman"/>
          <w:spacing w:val="-1"/>
          <w:sz w:val="32"/>
          <w:szCs w:val="32"/>
          <w:lang w:val="zh-TW"/>
        </w:rPr>
        <w:t>有</w:t>
      </w:r>
      <w:r>
        <w:rPr>
          <w:rFonts w:ascii="Times New Roman" w:hAnsi="Times New Roman"/>
          <w:spacing w:val="-1"/>
          <w:sz w:val="32"/>
          <w:szCs w:val="32"/>
          <w:lang w:val="zh-TW" w:eastAsia="zh-TW"/>
        </w:rPr>
        <w:t>各自的业务模式，收益法评估中应据此选取适当的评估模型和参数。</w:t>
      </w:r>
    </w:p>
    <w:p>
      <w:pPr>
        <w:spacing w:line="360" w:lineRule="auto"/>
        <w:ind w:firstLine="636" w:firstLineChars="200"/>
        <w:rPr>
          <w:rFonts w:ascii="Times New Roman" w:hAnsi="Times New Roman"/>
          <w:spacing w:val="-1"/>
          <w:sz w:val="32"/>
          <w:szCs w:val="32"/>
          <w:lang w:val="zh-TW" w:eastAsia="zh-TW"/>
        </w:rPr>
      </w:pPr>
      <w:r>
        <w:rPr>
          <w:rFonts w:ascii="Times New Roman" w:hAnsi="Times New Roman"/>
          <w:spacing w:val="-1"/>
          <w:sz w:val="32"/>
          <w:szCs w:val="32"/>
          <w:lang w:val="zh-TW" w:eastAsia="zh-TW"/>
        </w:rPr>
        <w:t>第</w:t>
      </w:r>
      <w:r>
        <w:rPr>
          <w:rFonts w:hint="eastAsia" w:ascii="Times New Roman" w:hAnsi="Times New Roman"/>
          <w:spacing w:val="-1"/>
          <w:sz w:val="32"/>
          <w:szCs w:val="32"/>
          <w:lang w:val="zh-TW"/>
        </w:rPr>
        <w:t>三</w:t>
      </w:r>
      <w:r>
        <w:rPr>
          <w:rFonts w:ascii="Times New Roman" w:hAnsi="Times New Roman"/>
          <w:spacing w:val="-1"/>
          <w:sz w:val="32"/>
          <w:szCs w:val="32"/>
          <w:lang w:val="zh-TW" w:eastAsia="zh-TW"/>
        </w:rPr>
        <w:t xml:space="preserve">条 </w:t>
      </w:r>
      <w:r>
        <w:rPr>
          <w:rFonts w:hint="eastAsia" w:ascii="Times New Roman" w:hAnsi="Times New Roman"/>
          <w:spacing w:val="-1"/>
          <w:sz w:val="32"/>
          <w:szCs w:val="32"/>
          <w:lang w:val="zh-TW"/>
        </w:rPr>
        <w:t xml:space="preserve"> </w:t>
      </w:r>
      <w:r>
        <w:rPr>
          <w:rFonts w:ascii="Times New Roman" w:hAnsi="Times New Roman"/>
          <w:spacing w:val="-1"/>
          <w:sz w:val="32"/>
          <w:szCs w:val="32"/>
          <w:lang w:val="zh-TW" w:eastAsia="zh-TW"/>
        </w:rPr>
        <w:t>金融企业是特许经营行业，行政监管严格，</w:t>
      </w:r>
      <w:r>
        <w:rPr>
          <w:rFonts w:hint="eastAsia" w:ascii="Times New Roman" w:hAnsi="Times New Roman"/>
          <w:spacing w:val="-1"/>
          <w:sz w:val="32"/>
          <w:szCs w:val="32"/>
          <w:lang w:val="zh-TW"/>
        </w:rPr>
        <w:t>资产评估师</w:t>
      </w:r>
      <w:r>
        <w:rPr>
          <w:rFonts w:ascii="Times New Roman" w:hAnsi="Times New Roman"/>
          <w:spacing w:val="-1"/>
          <w:sz w:val="32"/>
          <w:szCs w:val="32"/>
          <w:lang w:val="zh-TW" w:eastAsia="zh-TW"/>
        </w:rPr>
        <w:t>在收益法评估模型和参数确定时应适当考虑监管指标的要求</w:t>
      </w:r>
      <w:r>
        <w:rPr>
          <w:rFonts w:ascii="Times New Roman" w:hAnsi="Times New Roman"/>
          <w:spacing w:val="-1"/>
          <w:sz w:val="32"/>
          <w:szCs w:val="32"/>
          <w:lang w:val="zh-TW"/>
        </w:rPr>
        <w:t>。</w:t>
      </w:r>
    </w:p>
    <w:p>
      <w:pPr>
        <w:spacing w:line="360" w:lineRule="auto"/>
        <w:ind w:firstLine="638" w:firstLineChars="200"/>
        <w:outlineLvl w:val="0"/>
        <w:rPr>
          <w:rFonts w:ascii="Times New Roman" w:hAnsi="Times New Roman"/>
          <w:b/>
          <w:spacing w:val="-1"/>
          <w:sz w:val="32"/>
          <w:szCs w:val="32"/>
          <w:lang w:val="zh-TW" w:eastAsia="zh-TW"/>
        </w:rPr>
      </w:pPr>
      <w:r>
        <w:rPr>
          <w:rFonts w:ascii="Times New Roman" w:hAnsi="Times New Roman"/>
          <w:b/>
          <w:spacing w:val="-1"/>
          <w:sz w:val="32"/>
          <w:szCs w:val="32"/>
          <w:lang w:val="zh-TW" w:eastAsia="zh-TW"/>
        </w:rPr>
        <w:t>二、评估模型</w:t>
      </w:r>
    </w:p>
    <w:p>
      <w:pPr>
        <w:spacing w:line="360" w:lineRule="auto"/>
        <w:ind w:firstLine="636" w:firstLineChars="200"/>
        <w:rPr>
          <w:rFonts w:ascii="Times New Roman" w:hAnsi="Times New Roman"/>
          <w:spacing w:val="-1"/>
          <w:sz w:val="32"/>
          <w:szCs w:val="32"/>
          <w:lang w:val="zh-TW"/>
        </w:rPr>
      </w:pPr>
      <w:r>
        <w:rPr>
          <w:rFonts w:ascii="Times New Roman" w:hAnsi="Times New Roman"/>
          <w:spacing w:val="-1"/>
          <w:sz w:val="32"/>
          <w:szCs w:val="32"/>
          <w:lang w:val="zh-TW" w:eastAsia="zh-TW"/>
        </w:rPr>
        <w:t>第</w:t>
      </w:r>
      <w:r>
        <w:rPr>
          <w:rFonts w:hint="eastAsia" w:ascii="Times New Roman" w:hAnsi="Times New Roman"/>
          <w:spacing w:val="-1"/>
          <w:sz w:val="32"/>
          <w:szCs w:val="32"/>
          <w:lang w:val="zh-TW"/>
        </w:rPr>
        <w:t>四</w:t>
      </w:r>
      <w:r>
        <w:rPr>
          <w:rFonts w:ascii="Times New Roman" w:hAnsi="Times New Roman"/>
          <w:spacing w:val="-1"/>
          <w:sz w:val="32"/>
          <w:szCs w:val="32"/>
          <w:lang w:val="zh-TW" w:eastAsia="zh-TW"/>
        </w:rPr>
        <w:t xml:space="preserve">条  </w:t>
      </w:r>
      <w:r>
        <w:rPr>
          <w:rFonts w:hint="eastAsia" w:ascii="Times New Roman" w:hAnsi="Times New Roman"/>
          <w:spacing w:val="-1"/>
          <w:sz w:val="32"/>
          <w:szCs w:val="32"/>
          <w:lang w:val="zh-TW"/>
        </w:rPr>
        <w:t>资产评估师</w:t>
      </w:r>
      <w:r>
        <w:rPr>
          <w:rFonts w:ascii="Times New Roman" w:hAnsi="Times New Roman"/>
          <w:spacing w:val="-1"/>
          <w:sz w:val="32"/>
          <w:szCs w:val="32"/>
          <w:lang w:val="zh-TW" w:eastAsia="zh-TW"/>
        </w:rPr>
        <w:t>在确定金融企业收益法评估模型与参数</w:t>
      </w:r>
      <w:r>
        <w:rPr>
          <w:rFonts w:ascii="Times New Roman" w:hAnsi="Times New Roman"/>
          <w:spacing w:val="-1"/>
          <w:sz w:val="32"/>
          <w:szCs w:val="32"/>
          <w:lang w:val="zh-TW"/>
        </w:rPr>
        <w:t>时</w:t>
      </w:r>
      <w:r>
        <w:rPr>
          <w:rFonts w:ascii="Times New Roman" w:hAnsi="Times New Roman"/>
          <w:spacing w:val="-1"/>
          <w:sz w:val="32"/>
          <w:szCs w:val="32"/>
          <w:lang w:val="zh-TW" w:eastAsia="zh-TW"/>
        </w:rPr>
        <w:t>，应区分控股性产权变动业务和非控股性产权变动业务。</w:t>
      </w:r>
    </w:p>
    <w:p>
      <w:pPr>
        <w:spacing w:line="360" w:lineRule="auto"/>
        <w:ind w:firstLine="636" w:firstLineChars="200"/>
        <w:rPr>
          <w:rFonts w:ascii="Times New Roman" w:hAnsi="Times New Roman"/>
          <w:spacing w:val="-1"/>
          <w:sz w:val="32"/>
          <w:szCs w:val="32"/>
          <w:lang w:val="zh-TW"/>
        </w:rPr>
      </w:pPr>
      <w:r>
        <w:rPr>
          <w:rFonts w:ascii="Times New Roman" w:hAnsi="Times New Roman"/>
          <w:spacing w:val="-1"/>
          <w:sz w:val="32"/>
          <w:szCs w:val="32"/>
          <w:lang w:val="zh-TW" w:eastAsia="zh-TW"/>
        </w:rPr>
        <w:t>第</w:t>
      </w:r>
      <w:r>
        <w:rPr>
          <w:rFonts w:hint="eastAsia" w:ascii="Times New Roman" w:hAnsi="Times New Roman"/>
          <w:spacing w:val="-1"/>
          <w:sz w:val="32"/>
          <w:szCs w:val="32"/>
          <w:lang w:val="zh-TW"/>
        </w:rPr>
        <w:t>五</w:t>
      </w:r>
      <w:r>
        <w:rPr>
          <w:rFonts w:ascii="Times New Roman" w:hAnsi="Times New Roman"/>
          <w:spacing w:val="-1"/>
          <w:sz w:val="32"/>
          <w:szCs w:val="32"/>
          <w:lang w:val="zh-TW" w:eastAsia="zh-TW"/>
        </w:rPr>
        <w:t>条  在金融企业控股性产权变动业务中，金融企业收益法评估可以采用</w:t>
      </w:r>
      <w:r>
        <w:rPr>
          <w:rFonts w:hint="eastAsia" w:ascii="Times New Roman" w:hAnsi="Times New Roman"/>
          <w:spacing w:val="-1"/>
          <w:sz w:val="32"/>
          <w:szCs w:val="32"/>
          <w:lang w:val="zh-TW" w:eastAsia="zh-TW"/>
        </w:rPr>
        <w:t>股权自由现金流折现模型</w:t>
      </w:r>
      <w:r>
        <w:rPr>
          <w:rFonts w:ascii="Times New Roman" w:hAnsi="Times New Roman"/>
          <w:spacing w:val="-1"/>
          <w:sz w:val="32"/>
          <w:szCs w:val="32"/>
          <w:lang w:val="zh-TW" w:eastAsia="zh-TW"/>
        </w:rPr>
        <w:t>，如</w:t>
      </w:r>
      <w:r>
        <w:rPr>
          <w:rFonts w:hint="eastAsia" w:ascii="Times New Roman" w:hAnsi="Times New Roman"/>
          <w:spacing w:val="-1"/>
          <w:sz w:val="32"/>
          <w:szCs w:val="32"/>
          <w:lang w:val="zh-TW"/>
        </w:rPr>
        <w:t>，</w:t>
      </w:r>
      <w:r>
        <w:rPr>
          <w:rFonts w:ascii="Times New Roman" w:hAnsi="Times New Roman"/>
          <w:spacing w:val="-1"/>
          <w:sz w:val="32"/>
          <w:szCs w:val="32"/>
          <w:lang w:val="zh-TW" w:eastAsia="zh-TW"/>
        </w:rPr>
        <w:t>银行</w:t>
      </w:r>
      <w:r>
        <w:rPr>
          <w:rFonts w:hint="eastAsia" w:ascii="Times New Roman" w:hAnsi="Times New Roman"/>
          <w:spacing w:val="-1"/>
          <w:sz w:val="32"/>
          <w:szCs w:val="32"/>
          <w:lang w:val="zh-TW"/>
        </w:rPr>
        <w:t>、</w:t>
      </w:r>
      <w:r>
        <w:rPr>
          <w:rFonts w:ascii="Times New Roman" w:hAnsi="Times New Roman"/>
          <w:spacing w:val="-1"/>
          <w:sz w:val="32"/>
          <w:szCs w:val="32"/>
          <w:lang w:val="zh-TW" w:eastAsia="zh-TW"/>
        </w:rPr>
        <w:t>保险公司</w:t>
      </w:r>
      <w:r>
        <w:rPr>
          <w:rFonts w:hint="eastAsia" w:ascii="Times New Roman" w:hAnsi="Times New Roman"/>
          <w:spacing w:val="-1"/>
          <w:sz w:val="32"/>
          <w:szCs w:val="32"/>
          <w:lang w:val="zh-TW"/>
        </w:rPr>
        <w:t>、</w:t>
      </w:r>
      <w:r>
        <w:rPr>
          <w:rFonts w:ascii="Times New Roman" w:hAnsi="Times New Roman"/>
          <w:spacing w:val="-1"/>
          <w:sz w:val="32"/>
          <w:szCs w:val="32"/>
          <w:lang w:val="zh-TW" w:eastAsia="zh-TW"/>
        </w:rPr>
        <w:t>证券公司等</w:t>
      </w:r>
      <w:r>
        <w:rPr>
          <w:rFonts w:hint="eastAsia" w:ascii="Times New Roman" w:hAnsi="Times New Roman"/>
          <w:spacing w:val="-1"/>
          <w:sz w:val="32"/>
          <w:szCs w:val="32"/>
          <w:lang w:val="zh-TW"/>
        </w:rPr>
        <w:t>，</w:t>
      </w:r>
      <w:r>
        <w:rPr>
          <w:rFonts w:ascii="Times New Roman" w:hAnsi="Times New Roman"/>
          <w:spacing w:val="-1"/>
          <w:sz w:val="32"/>
          <w:szCs w:val="32"/>
          <w:lang w:val="zh-TW" w:eastAsia="zh-TW"/>
        </w:rPr>
        <w:t>也可以采用</w:t>
      </w:r>
      <w:r>
        <w:rPr>
          <w:rFonts w:hint="eastAsia" w:ascii="Times New Roman" w:hAnsi="Times New Roman"/>
          <w:spacing w:val="-1"/>
          <w:sz w:val="32"/>
          <w:szCs w:val="32"/>
          <w:lang w:val="zh-TW" w:eastAsia="zh-TW"/>
        </w:rPr>
        <w:t>企业自由现金流折现模型</w:t>
      </w:r>
      <w:r>
        <w:rPr>
          <w:rFonts w:hint="eastAsia" w:ascii="Times New Roman" w:hAnsi="Times New Roman"/>
          <w:spacing w:val="-1"/>
          <w:sz w:val="32"/>
          <w:szCs w:val="32"/>
          <w:lang w:val="zh-TW"/>
        </w:rPr>
        <w:t>，如金融租赁公司等。</w:t>
      </w:r>
      <w:r>
        <w:rPr>
          <w:rFonts w:ascii="Times New Roman" w:hAnsi="Times New Roman"/>
          <w:spacing w:val="-1"/>
          <w:sz w:val="32"/>
          <w:szCs w:val="32"/>
          <w:lang w:val="zh-TW" w:eastAsia="zh-TW"/>
        </w:rPr>
        <w:t>其中</w:t>
      </w:r>
      <w:r>
        <w:rPr>
          <w:rFonts w:hint="eastAsia" w:ascii="Times New Roman" w:hAnsi="Times New Roman"/>
          <w:spacing w:val="-1"/>
          <w:sz w:val="32"/>
          <w:szCs w:val="32"/>
          <w:lang w:val="zh-TW"/>
        </w:rPr>
        <w:t>：</w:t>
      </w:r>
    </w:p>
    <w:p>
      <w:pPr>
        <w:spacing w:line="360" w:lineRule="auto"/>
        <w:ind w:firstLine="636" w:firstLineChars="200"/>
        <w:rPr>
          <w:rFonts w:ascii="Times New Roman" w:hAnsi="Times New Roman"/>
          <w:spacing w:val="-1"/>
          <w:sz w:val="32"/>
          <w:szCs w:val="32"/>
          <w:lang w:val="zh-TW" w:eastAsia="zh-TW"/>
        </w:rPr>
      </w:pPr>
      <w:r>
        <w:rPr>
          <w:rFonts w:ascii="Times New Roman" w:hAnsi="Times New Roman"/>
          <w:spacing w:val="-1"/>
          <w:sz w:val="32"/>
          <w:szCs w:val="32"/>
          <w:lang w:val="zh-TW" w:eastAsia="zh-TW"/>
        </w:rPr>
        <w:t>股权自由现金流量的计算可以参照如下公式：</w:t>
      </w:r>
    </w:p>
    <w:p>
      <w:pPr>
        <w:spacing w:line="360" w:lineRule="auto"/>
        <w:ind w:firstLine="636" w:firstLineChars="200"/>
        <w:rPr>
          <w:rFonts w:ascii="Times New Roman" w:hAnsi="Times New Roman"/>
          <w:spacing w:val="-1"/>
          <w:sz w:val="32"/>
          <w:szCs w:val="32"/>
          <w:lang w:val="zh-TW"/>
        </w:rPr>
      </w:pPr>
      <w:r>
        <w:rPr>
          <w:rFonts w:ascii="Times New Roman" w:hAnsi="Times New Roman"/>
          <w:spacing w:val="-1"/>
          <w:sz w:val="32"/>
          <w:szCs w:val="32"/>
          <w:lang w:val="zh-TW" w:eastAsia="zh-TW"/>
        </w:rPr>
        <w:t>股权自由现金流量=净利润-权益增加额+其他综合</w:t>
      </w:r>
      <w:r>
        <w:rPr>
          <w:rFonts w:hint="eastAsia" w:ascii="Times New Roman" w:hAnsi="Times New Roman"/>
          <w:spacing w:val="-1"/>
          <w:sz w:val="32"/>
          <w:szCs w:val="32"/>
          <w:lang w:val="zh-TW"/>
        </w:rPr>
        <w:t>收益</w:t>
      </w:r>
    </w:p>
    <w:p>
      <w:pPr>
        <w:spacing w:line="360" w:lineRule="auto"/>
        <w:ind w:firstLine="636" w:firstLineChars="200"/>
        <w:rPr>
          <w:rFonts w:ascii="Times New Roman" w:hAnsi="Times New Roman"/>
          <w:spacing w:val="-1"/>
          <w:sz w:val="32"/>
          <w:szCs w:val="32"/>
          <w:lang w:val="zh-TW" w:eastAsia="zh-TW"/>
        </w:rPr>
      </w:pPr>
      <w:r>
        <w:rPr>
          <w:rFonts w:ascii="Times New Roman" w:hAnsi="Times New Roman"/>
          <w:spacing w:val="-1"/>
          <w:sz w:val="32"/>
          <w:szCs w:val="32"/>
          <w:lang w:val="zh-TW" w:eastAsia="zh-TW"/>
        </w:rPr>
        <w:t>净利润是由企业的收入减去支出决定的；</w:t>
      </w:r>
    </w:p>
    <w:p>
      <w:pPr>
        <w:spacing w:line="360" w:lineRule="auto"/>
        <w:ind w:firstLine="636" w:firstLineChars="200"/>
        <w:rPr>
          <w:rFonts w:ascii="Times New Roman" w:hAnsi="Times New Roman"/>
          <w:spacing w:val="-1"/>
          <w:sz w:val="32"/>
          <w:szCs w:val="32"/>
          <w:lang w:val="zh-TW" w:eastAsia="zh-TW"/>
        </w:rPr>
      </w:pPr>
      <w:r>
        <w:rPr>
          <w:rFonts w:ascii="Times New Roman" w:hAnsi="Times New Roman"/>
          <w:spacing w:val="-1"/>
          <w:sz w:val="32"/>
          <w:szCs w:val="32"/>
          <w:lang w:val="zh-TW" w:eastAsia="zh-TW"/>
        </w:rPr>
        <w:t>权益增加额与资本性支出和</w:t>
      </w:r>
      <w:r>
        <w:rPr>
          <w:rFonts w:hint="eastAsia" w:ascii="Times New Roman" w:hAnsi="Times New Roman"/>
          <w:spacing w:val="-1"/>
          <w:sz w:val="32"/>
          <w:szCs w:val="32"/>
          <w:lang w:val="zh-TW"/>
        </w:rPr>
        <w:t>净流动资金增加额</w:t>
      </w:r>
      <w:r>
        <w:rPr>
          <w:rFonts w:ascii="Times New Roman" w:hAnsi="Times New Roman"/>
          <w:spacing w:val="-1"/>
          <w:sz w:val="32"/>
          <w:szCs w:val="32"/>
          <w:lang w:val="zh-TW" w:eastAsia="zh-TW"/>
        </w:rPr>
        <w:t>之间存在差异，概念不应混同。</w:t>
      </w:r>
    </w:p>
    <w:p>
      <w:pPr>
        <w:spacing w:line="360" w:lineRule="auto"/>
        <w:ind w:firstLine="636" w:firstLineChars="200"/>
        <w:rPr>
          <w:rFonts w:ascii="Times New Roman" w:hAnsi="Times New Roman"/>
          <w:spacing w:val="-1"/>
          <w:sz w:val="32"/>
          <w:szCs w:val="32"/>
          <w:lang w:val="zh-TW"/>
        </w:rPr>
      </w:pPr>
      <w:r>
        <w:rPr>
          <w:rFonts w:ascii="Times New Roman" w:hAnsi="Times New Roman"/>
          <w:spacing w:val="-1"/>
          <w:sz w:val="32"/>
          <w:szCs w:val="32"/>
          <w:lang w:val="zh-TW" w:eastAsia="zh-TW"/>
        </w:rPr>
        <w:t>权益增加额应通过所有者权益科目的变化进行预测。</w:t>
      </w:r>
    </w:p>
    <w:p>
      <w:pPr>
        <w:spacing w:line="360" w:lineRule="auto"/>
        <w:ind w:firstLine="636" w:firstLineChars="200"/>
        <w:rPr>
          <w:rFonts w:ascii="Times New Roman" w:hAnsi="Times New Roman"/>
          <w:spacing w:val="-1"/>
          <w:sz w:val="32"/>
          <w:szCs w:val="32"/>
          <w:lang w:val="zh-TW"/>
        </w:rPr>
      </w:pPr>
      <w:r>
        <w:rPr>
          <w:rFonts w:hint="eastAsia" w:ascii="Times New Roman" w:hAnsi="Times New Roman"/>
          <w:spacing w:val="-1"/>
          <w:sz w:val="32"/>
          <w:szCs w:val="32"/>
          <w:lang w:val="zh-TW"/>
        </w:rPr>
        <w:t>其他综合收益，是指企业根据《</w:t>
      </w:r>
      <w:r>
        <w:rPr>
          <w:rFonts w:hint="eastAsia" w:ascii="Times New Roman" w:hAnsi="Times New Roman"/>
          <w:spacing w:val="-1"/>
          <w:sz w:val="32"/>
          <w:szCs w:val="32"/>
          <w:lang w:val="zh-TW" w:eastAsia="zh-CN"/>
        </w:rPr>
        <w:t>企业</w:t>
      </w:r>
      <w:r>
        <w:rPr>
          <w:rFonts w:hint="eastAsia" w:ascii="Times New Roman" w:hAnsi="Times New Roman"/>
          <w:spacing w:val="-1"/>
          <w:sz w:val="32"/>
          <w:szCs w:val="32"/>
          <w:lang w:val="zh-TW"/>
        </w:rPr>
        <w:t>会计准则第30号——财务报表列报》的要求，列示在利润表中的其他综合收益，是指根据其他会计准则规定未在当期损益中确认的各项利得和损失（《</w:t>
      </w:r>
      <w:r>
        <w:rPr>
          <w:rFonts w:hint="eastAsia" w:ascii="Times New Roman" w:hAnsi="Times New Roman"/>
          <w:spacing w:val="-1"/>
          <w:sz w:val="32"/>
          <w:szCs w:val="32"/>
          <w:lang w:val="zh-TW" w:eastAsia="zh-CN"/>
        </w:rPr>
        <w:t>企业</w:t>
      </w:r>
      <w:r>
        <w:rPr>
          <w:rFonts w:hint="eastAsia" w:ascii="Times New Roman" w:hAnsi="Times New Roman"/>
          <w:spacing w:val="-1"/>
          <w:sz w:val="32"/>
          <w:szCs w:val="32"/>
          <w:lang w:val="zh-TW"/>
        </w:rPr>
        <w:t>会计准则第30号——财务报表列报》第33条。）。</w:t>
      </w:r>
    </w:p>
    <w:p>
      <w:pPr>
        <w:spacing w:line="360" w:lineRule="auto"/>
        <w:ind w:firstLine="636" w:firstLineChars="200"/>
        <w:rPr>
          <w:rFonts w:ascii="Times New Roman" w:hAnsi="Times New Roman"/>
          <w:spacing w:val="-1"/>
          <w:sz w:val="32"/>
          <w:szCs w:val="32"/>
          <w:lang w:val="zh-TW"/>
        </w:rPr>
      </w:pPr>
      <w:r>
        <w:rPr>
          <w:rFonts w:hint="eastAsia" w:ascii="Times New Roman" w:hAnsi="Times New Roman"/>
          <w:spacing w:val="-1"/>
          <w:sz w:val="32"/>
          <w:szCs w:val="32"/>
          <w:lang w:val="zh-TW"/>
        </w:rPr>
        <w:t>企业自由现金流量的计算公式可以参照如下公式：</w:t>
      </w:r>
    </w:p>
    <w:p>
      <w:pPr>
        <w:spacing w:line="360" w:lineRule="auto"/>
        <w:ind w:firstLine="636" w:firstLineChars="200"/>
        <w:rPr>
          <w:rFonts w:ascii="Times New Roman" w:hAnsi="Times New Roman"/>
          <w:spacing w:val="-1"/>
          <w:sz w:val="32"/>
          <w:szCs w:val="32"/>
          <w:lang w:val="zh-TW"/>
        </w:rPr>
      </w:pPr>
      <w:r>
        <w:rPr>
          <w:rFonts w:hint="eastAsia" w:ascii="Times New Roman" w:hAnsi="Times New Roman"/>
          <w:spacing w:val="-1"/>
          <w:sz w:val="32"/>
          <w:szCs w:val="32"/>
          <w:lang w:val="zh-TW"/>
        </w:rPr>
        <w:t>企业自由现金流量=息前税后净利润+折旧、摊销-资本性支出-净流动资金增加额</w:t>
      </w:r>
    </w:p>
    <w:p>
      <w:pPr>
        <w:spacing w:line="360" w:lineRule="auto"/>
        <w:ind w:firstLine="636" w:firstLineChars="200"/>
        <w:rPr>
          <w:rFonts w:ascii="Times New Roman" w:hAnsi="Times New Roman"/>
          <w:spacing w:val="-1"/>
          <w:sz w:val="32"/>
          <w:szCs w:val="32"/>
          <w:lang w:val="zh-TW"/>
        </w:rPr>
      </w:pPr>
      <w:r>
        <w:rPr>
          <w:rFonts w:hint="eastAsia" w:ascii="Times New Roman" w:hAnsi="Times New Roman"/>
          <w:spacing w:val="-1"/>
          <w:sz w:val="32"/>
          <w:szCs w:val="32"/>
          <w:lang w:val="zh-TW"/>
        </w:rPr>
        <w:t xml:space="preserve"> 资本性支出是指企业用来购买、改善、扩张固定资产等用途的支出；</w:t>
      </w:r>
    </w:p>
    <w:p>
      <w:pPr>
        <w:spacing w:line="360" w:lineRule="auto"/>
        <w:ind w:firstLine="636" w:firstLineChars="200"/>
        <w:rPr>
          <w:rFonts w:ascii="Times New Roman" w:hAnsi="Times New Roman"/>
          <w:spacing w:val="-1"/>
          <w:sz w:val="32"/>
          <w:szCs w:val="32"/>
          <w:lang w:val="zh-TW"/>
        </w:rPr>
      </w:pPr>
      <w:r>
        <w:rPr>
          <w:rFonts w:hint="eastAsia" w:ascii="Times New Roman" w:hAnsi="Times New Roman"/>
          <w:spacing w:val="-1"/>
          <w:sz w:val="32"/>
          <w:szCs w:val="32"/>
          <w:lang w:val="zh-TW"/>
        </w:rPr>
        <w:t>净流动资金增加额是指为营运准备的现金，一般定义为流动资产减去流动负债。</w:t>
      </w:r>
    </w:p>
    <w:p>
      <w:pPr>
        <w:spacing w:line="360" w:lineRule="auto"/>
        <w:ind w:firstLine="636" w:firstLineChars="200"/>
        <w:rPr>
          <w:rFonts w:ascii="Times New Roman" w:hAnsi="Times New Roman"/>
          <w:spacing w:val="-1"/>
          <w:sz w:val="32"/>
          <w:szCs w:val="32"/>
          <w:lang w:val="zh-TW" w:eastAsia="zh-TW"/>
        </w:rPr>
      </w:pPr>
      <w:r>
        <w:rPr>
          <w:rFonts w:ascii="Times New Roman" w:hAnsi="Times New Roman"/>
          <w:spacing w:val="-1"/>
          <w:sz w:val="32"/>
          <w:szCs w:val="32"/>
          <w:lang w:val="zh-TW" w:eastAsia="zh-TW"/>
        </w:rPr>
        <w:t>第六条  根据评估对象的周期</w:t>
      </w:r>
      <w:r>
        <w:rPr>
          <w:rFonts w:ascii="Times New Roman" w:hAnsi="Times New Roman"/>
          <w:spacing w:val="-1"/>
          <w:sz w:val="32"/>
          <w:szCs w:val="32"/>
          <w:lang w:val="zh-TW"/>
        </w:rPr>
        <w:t>性</w:t>
      </w:r>
      <w:r>
        <w:rPr>
          <w:rFonts w:ascii="Times New Roman" w:hAnsi="Times New Roman"/>
          <w:spacing w:val="-1"/>
          <w:sz w:val="32"/>
          <w:szCs w:val="32"/>
          <w:lang w:val="zh-TW" w:eastAsia="zh-TW"/>
        </w:rPr>
        <w:t>特点，采用两阶段</w:t>
      </w:r>
      <w:r>
        <w:rPr>
          <w:rFonts w:ascii="Times New Roman" w:hAnsi="Times New Roman"/>
          <w:spacing w:val="-1"/>
          <w:sz w:val="32"/>
          <w:szCs w:val="32"/>
          <w:lang w:val="zh-TW"/>
        </w:rPr>
        <w:t>、</w:t>
      </w:r>
      <w:r>
        <w:rPr>
          <w:rFonts w:ascii="Times New Roman" w:hAnsi="Times New Roman"/>
          <w:spacing w:val="-1"/>
          <w:sz w:val="32"/>
          <w:szCs w:val="32"/>
          <w:lang w:val="zh-TW" w:eastAsia="zh-TW"/>
        </w:rPr>
        <w:t>三阶段或其他评估模型，报告中应说明采用模型的理由。</w:t>
      </w:r>
    </w:p>
    <w:p>
      <w:pPr>
        <w:spacing w:line="360" w:lineRule="auto"/>
        <w:ind w:firstLine="636" w:firstLineChars="200"/>
        <w:rPr>
          <w:rFonts w:ascii="Times New Roman" w:hAnsi="Times New Roman"/>
          <w:spacing w:val="-1"/>
          <w:sz w:val="32"/>
          <w:szCs w:val="32"/>
          <w:lang w:val="zh-TW" w:eastAsia="zh-TW"/>
        </w:rPr>
      </w:pPr>
      <w:r>
        <w:rPr>
          <w:rFonts w:ascii="Times New Roman" w:hAnsi="Times New Roman"/>
          <w:spacing w:val="-1"/>
          <w:sz w:val="32"/>
          <w:szCs w:val="32"/>
          <w:lang w:val="zh-TW" w:eastAsia="zh-TW"/>
        </w:rPr>
        <w:t>可以通过长期监测并计算利润波动幅度的变异系数来判断行业的周期性，进而客观、科学地预测企业未来的收益和风险。</w:t>
      </w:r>
    </w:p>
    <w:p>
      <w:pPr>
        <w:spacing w:line="360" w:lineRule="auto"/>
        <w:ind w:firstLine="636" w:firstLineChars="200"/>
        <w:rPr>
          <w:rFonts w:ascii="Times New Roman" w:hAnsi="Times New Roman"/>
          <w:spacing w:val="-1"/>
          <w:sz w:val="32"/>
          <w:szCs w:val="32"/>
          <w:lang w:val="zh-TW" w:eastAsia="zh-TW"/>
        </w:rPr>
      </w:pPr>
      <w:r>
        <w:rPr>
          <w:rFonts w:ascii="Times New Roman" w:hAnsi="Times New Roman"/>
          <w:spacing w:val="-1"/>
          <w:sz w:val="32"/>
          <w:szCs w:val="32"/>
          <w:lang w:val="zh-TW" w:eastAsia="zh-TW"/>
        </w:rPr>
        <w:t>第</w:t>
      </w:r>
      <w:r>
        <w:rPr>
          <w:rFonts w:hint="eastAsia" w:ascii="Times New Roman" w:hAnsi="Times New Roman"/>
          <w:spacing w:val="-1"/>
          <w:sz w:val="32"/>
          <w:szCs w:val="32"/>
          <w:lang w:val="zh-TW"/>
        </w:rPr>
        <w:t>七</w:t>
      </w:r>
      <w:r>
        <w:rPr>
          <w:rFonts w:ascii="Times New Roman" w:hAnsi="Times New Roman"/>
          <w:spacing w:val="-1"/>
          <w:sz w:val="32"/>
          <w:szCs w:val="32"/>
          <w:lang w:val="zh-TW" w:eastAsia="zh-TW"/>
        </w:rPr>
        <w:t>条  企业持续经营中，待企业达到正常稳定经营后，评估模型可以考虑永续期间的价值，永续模型可以采用永续不增长模型或永续增长模型。若采用永续增长模型，则应在折现率中适当体现</w:t>
      </w:r>
      <w:r>
        <w:rPr>
          <w:rFonts w:hint="eastAsia" w:ascii="Times New Roman" w:hAnsi="Times New Roman"/>
          <w:spacing w:val="-1"/>
          <w:sz w:val="32"/>
          <w:szCs w:val="32"/>
          <w:lang w:val="zh-TW"/>
        </w:rPr>
        <w:t>永续</w:t>
      </w:r>
      <w:r>
        <w:rPr>
          <w:rFonts w:ascii="Times New Roman" w:hAnsi="Times New Roman"/>
          <w:spacing w:val="-1"/>
          <w:sz w:val="32"/>
          <w:szCs w:val="32"/>
          <w:lang w:val="zh-TW" w:eastAsia="zh-TW"/>
        </w:rPr>
        <w:t>增长的要求。</w:t>
      </w:r>
    </w:p>
    <w:p>
      <w:pPr>
        <w:spacing w:line="360" w:lineRule="auto"/>
        <w:ind w:firstLine="636" w:firstLineChars="200"/>
        <w:rPr>
          <w:rFonts w:ascii="Times New Roman" w:hAnsi="Times New Roman"/>
          <w:spacing w:val="-1"/>
          <w:sz w:val="32"/>
          <w:szCs w:val="32"/>
          <w:lang w:val="zh-TW" w:eastAsia="zh-TW"/>
        </w:rPr>
      </w:pPr>
      <w:r>
        <w:rPr>
          <w:rFonts w:ascii="Times New Roman" w:hAnsi="Times New Roman"/>
          <w:spacing w:val="-1"/>
          <w:sz w:val="32"/>
          <w:szCs w:val="32"/>
          <w:lang w:val="zh-TW" w:eastAsia="zh-TW"/>
        </w:rPr>
        <w:t>在采用永续增长模型中，增长率应根据企业的留存收益率和股利分配率合理确定。</w:t>
      </w:r>
    </w:p>
    <w:p>
      <w:pPr>
        <w:spacing w:line="360" w:lineRule="auto"/>
        <w:ind w:firstLine="636" w:firstLineChars="200"/>
        <w:rPr>
          <w:rFonts w:ascii="Times New Roman" w:hAnsi="Times New Roman"/>
          <w:spacing w:val="-1"/>
          <w:sz w:val="32"/>
          <w:szCs w:val="32"/>
          <w:lang w:val="zh-TW" w:eastAsia="zh-TW"/>
        </w:rPr>
      </w:pPr>
      <w:r>
        <w:rPr>
          <w:rFonts w:ascii="Times New Roman" w:hAnsi="Times New Roman"/>
          <w:spacing w:val="-1"/>
          <w:sz w:val="32"/>
          <w:szCs w:val="32"/>
          <w:lang w:val="zh-TW" w:eastAsia="zh-TW"/>
        </w:rPr>
        <w:t>在永续增长阶段通常不考虑通货膨胀率。</w:t>
      </w:r>
    </w:p>
    <w:p>
      <w:pPr>
        <w:spacing w:line="360" w:lineRule="auto"/>
        <w:ind w:firstLine="636" w:firstLineChars="200"/>
        <w:rPr>
          <w:rFonts w:ascii="Times New Roman" w:hAnsi="Times New Roman"/>
          <w:spacing w:val="-1"/>
          <w:sz w:val="32"/>
          <w:szCs w:val="32"/>
          <w:lang w:val="zh-TW"/>
        </w:rPr>
      </w:pPr>
      <w:r>
        <w:rPr>
          <w:rFonts w:ascii="Times New Roman" w:hAnsi="Times New Roman"/>
          <w:spacing w:val="-1"/>
          <w:sz w:val="32"/>
          <w:szCs w:val="32"/>
          <w:lang w:val="zh-TW" w:eastAsia="zh-TW"/>
        </w:rPr>
        <w:t>第</w:t>
      </w:r>
      <w:r>
        <w:rPr>
          <w:rFonts w:hint="eastAsia" w:ascii="Times New Roman" w:hAnsi="Times New Roman"/>
          <w:spacing w:val="-1"/>
          <w:sz w:val="32"/>
          <w:szCs w:val="32"/>
          <w:lang w:val="zh-TW"/>
        </w:rPr>
        <w:t>八</w:t>
      </w:r>
      <w:r>
        <w:rPr>
          <w:rFonts w:ascii="Times New Roman" w:hAnsi="Times New Roman"/>
          <w:spacing w:val="-1"/>
          <w:sz w:val="32"/>
          <w:szCs w:val="32"/>
          <w:lang w:val="zh-TW" w:eastAsia="zh-TW"/>
        </w:rPr>
        <w:t>条  金融企业非控股性产权变动业务中，可以采用股利折现模型</w:t>
      </w:r>
      <w:r>
        <w:rPr>
          <w:rFonts w:hint="eastAsia" w:ascii="Times New Roman" w:hAnsi="Times New Roman"/>
          <w:spacing w:val="-1"/>
          <w:sz w:val="32"/>
          <w:szCs w:val="32"/>
          <w:lang w:val="zh-TW"/>
        </w:rPr>
        <w:t>。</w:t>
      </w:r>
    </w:p>
    <w:p>
      <w:pPr>
        <w:spacing w:line="360" w:lineRule="auto"/>
        <w:ind w:firstLine="636" w:firstLineChars="200"/>
        <w:rPr>
          <w:rFonts w:ascii="Times New Roman" w:hAnsi="Times New Roman"/>
          <w:spacing w:val="-1"/>
          <w:sz w:val="32"/>
          <w:szCs w:val="32"/>
          <w:lang w:val="zh-TW"/>
        </w:rPr>
      </w:pPr>
      <w:r>
        <w:rPr>
          <w:rFonts w:ascii="Times New Roman" w:hAnsi="Times New Roman"/>
          <w:spacing w:val="-1"/>
          <w:sz w:val="32"/>
          <w:szCs w:val="32"/>
          <w:lang w:val="zh-TW" w:eastAsia="zh-TW"/>
        </w:rPr>
        <w:t>股利折现模型亦可以采用增长模式，增长率应根据企业的留存收益率和股利分配率合理确定。</w:t>
      </w:r>
    </w:p>
    <w:p>
      <w:pPr>
        <w:spacing w:line="360" w:lineRule="auto"/>
        <w:ind w:firstLine="638" w:firstLineChars="200"/>
        <w:outlineLvl w:val="0"/>
        <w:rPr>
          <w:rFonts w:ascii="Times New Roman" w:hAnsi="Times New Roman"/>
          <w:b/>
          <w:spacing w:val="-1"/>
          <w:sz w:val="32"/>
          <w:szCs w:val="32"/>
          <w:lang w:val="zh-TW" w:eastAsia="zh-TW"/>
        </w:rPr>
      </w:pPr>
      <w:r>
        <w:rPr>
          <w:rFonts w:ascii="Times New Roman" w:hAnsi="Times New Roman"/>
          <w:b/>
          <w:spacing w:val="-1"/>
          <w:sz w:val="32"/>
          <w:szCs w:val="32"/>
          <w:lang w:val="zh-TW" w:eastAsia="zh-TW"/>
        </w:rPr>
        <w:t>三、金融企业收入等项目的预测思路</w:t>
      </w:r>
    </w:p>
    <w:p>
      <w:pPr>
        <w:spacing w:line="360" w:lineRule="auto"/>
        <w:ind w:firstLine="636" w:firstLineChars="200"/>
        <w:rPr>
          <w:rFonts w:ascii="Times New Roman" w:hAnsi="Times New Roman"/>
          <w:spacing w:val="-1"/>
          <w:sz w:val="32"/>
          <w:szCs w:val="32"/>
          <w:lang w:val="zh-TW" w:eastAsia="zh-TW"/>
        </w:rPr>
      </w:pPr>
      <w:r>
        <w:rPr>
          <w:rFonts w:ascii="Times New Roman" w:hAnsi="Times New Roman"/>
          <w:spacing w:val="-1"/>
          <w:sz w:val="32"/>
          <w:szCs w:val="32"/>
          <w:lang w:val="zh-TW" w:eastAsia="zh-TW"/>
        </w:rPr>
        <w:t>第</w:t>
      </w:r>
      <w:r>
        <w:rPr>
          <w:rFonts w:hint="eastAsia" w:ascii="Times New Roman" w:hAnsi="Times New Roman"/>
          <w:spacing w:val="-1"/>
          <w:sz w:val="32"/>
          <w:szCs w:val="32"/>
          <w:lang w:val="zh-TW"/>
        </w:rPr>
        <w:t>九</w:t>
      </w:r>
      <w:r>
        <w:rPr>
          <w:rFonts w:ascii="Times New Roman" w:hAnsi="Times New Roman"/>
          <w:spacing w:val="-1"/>
          <w:sz w:val="32"/>
          <w:szCs w:val="32"/>
          <w:lang w:val="zh-TW" w:eastAsia="zh-TW"/>
        </w:rPr>
        <w:t>条  金融企业收益法评估中，宜按照先预测资产负债表</w:t>
      </w:r>
      <w:r>
        <w:rPr>
          <w:rFonts w:hint="eastAsia" w:ascii="Times New Roman" w:hAnsi="Times New Roman"/>
          <w:spacing w:val="-1"/>
          <w:sz w:val="32"/>
          <w:szCs w:val="32"/>
          <w:lang w:val="zh-TW"/>
        </w:rPr>
        <w:t>，</w:t>
      </w:r>
      <w:r>
        <w:rPr>
          <w:rFonts w:ascii="Times New Roman" w:hAnsi="Times New Roman"/>
          <w:spacing w:val="-1"/>
          <w:sz w:val="32"/>
          <w:szCs w:val="32"/>
          <w:lang w:val="zh-TW" w:eastAsia="zh-TW"/>
        </w:rPr>
        <w:t>根据负债情况</w:t>
      </w:r>
      <w:r>
        <w:rPr>
          <w:rFonts w:hint="eastAsia" w:ascii="Times New Roman" w:hAnsi="Times New Roman"/>
          <w:spacing w:val="-1"/>
          <w:sz w:val="32"/>
          <w:szCs w:val="32"/>
          <w:lang w:val="zh-TW"/>
        </w:rPr>
        <w:t>（</w:t>
      </w:r>
      <w:r>
        <w:rPr>
          <w:rFonts w:ascii="Times New Roman" w:hAnsi="Times New Roman"/>
          <w:spacing w:val="-1"/>
          <w:sz w:val="32"/>
          <w:szCs w:val="32"/>
          <w:lang w:val="zh-TW" w:eastAsia="zh-TW"/>
        </w:rPr>
        <w:t>资金来源</w:t>
      </w:r>
      <w:r>
        <w:rPr>
          <w:rFonts w:hint="eastAsia" w:ascii="Times New Roman" w:hAnsi="Times New Roman"/>
          <w:spacing w:val="-1"/>
          <w:sz w:val="32"/>
          <w:szCs w:val="32"/>
          <w:lang w:val="zh-TW"/>
        </w:rPr>
        <w:t>）安排</w:t>
      </w:r>
      <w:r>
        <w:rPr>
          <w:rFonts w:ascii="Times New Roman" w:hAnsi="Times New Roman"/>
          <w:spacing w:val="-1"/>
          <w:sz w:val="32"/>
          <w:szCs w:val="32"/>
          <w:lang w:val="zh-TW" w:eastAsia="zh-TW"/>
        </w:rPr>
        <w:t>资金使用</w:t>
      </w:r>
      <w:r>
        <w:rPr>
          <w:rFonts w:hint="eastAsia" w:ascii="Times New Roman" w:hAnsi="Times New Roman"/>
          <w:spacing w:val="-1"/>
          <w:sz w:val="32"/>
          <w:szCs w:val="32"/>
          <w:lang w:val="zh-TW"/>
        </w:rPr>
        <w:t>，</w:t>
      </w:r>
      <w:r>
        <w:rPr>
          <w:rFonts w:ascii="Times New Roman" w:hAnsi="Times New Roman"/>
          <w:spacing w:val="-1"/>
          <w:sz w:val="32"/>
          <w:szCs w:val="32"/>
          <w:lang w:val="zh-TW" w:eastAsia="zh-TW"/>
        </w:rPr>
        <w:t>然后根据资产配置</w:t>
      </w:r>
      <w:r>
        <w:rPr>
          <w:rFonts w:hint="eastAsia" w:ascii="Times New Roman" w:hAnsi="Times New Roman"/>
          <w:spacing w:val="-1"/>
          <w:sz w:val="32"/>
          <w:szCs w:val="32"/>
          <w:lang w:val="zh-TW"/>
        </w:rPr>
        <w:t>预测</w:t>
      </w:r>
      <w:r>
        <w:rPr>
          <w:rFonts w:ascii="Times New Roman" w:hAnsi="Times New Roman"/>
          <w:spacing w:val="-1"/>
          <w:sz w:val="32"/>
          <w:szCs w:val="32"/>
          <w:lang w:val="zh-TW" w:eastAsia="zh-TW"/>
        </w:rPr>
        <w:t>资金产出即企业收益</w:t>
      </w:r>
      <w:r>
        <w:rPr>
          <w:rFonts w:hint="eastAsia" w:ascii="Times New Roman" w:hAnsi="Times New Roman"/>
          <w:spacing w:val="-1"/>
          <w:sz w:val="32"/>
          <w:szCs w:val="32"/>
          <w:lang w:val="zh-TW"/>
        </w:rPr>
        <w:t>和</w:t>
      </w:r>
      <w:r>
        <w:rPr>
          <w:rFonts w:ascii="Times New Roman" w:hAnsi="Times New Roman"/>
          <w:spacing w:val="-1"/>
          <w:sz w:val="32"/>
          <w:szCs w:val="32"/>
          <w:lang w:val="zh-TW" w:eastAsia="zh-TW"/>
        </w:rPr>
        <w:t>资金耗费，具体操作是：先预测未来的资产负债表</w:t>
      </w:r>
      <w:r>
        <w:rPr>
          <w:rFonts w:hint="eastAsia" w:ascii="Times New Roman" w:hAnsi="Times New Roman"/>
          <w:spacing w:val="-1"/>
          <w:sz w:val="32"/>
          <w:szCs w:val="32"/>
          <w:lang w:val="zh-TW"/>
        </w:rPr>
        <w:t>（参见案例一）</w:t>
      </w:r>
      <w:r>
        <w:rPr>
          <w:rFonts w:ascii="Times New Roman" w:hAnsi="Times New Roman"/>
          <w:spacing w:val="-1"/>
          <w:sz w:val="32"/>
          <w:szCs w:val="32"/>
          <w:lang w:val="zh-TW" w:eastAsia="zh-TW"/>
        </w:rPr>
        <w:t>，再根据资产配置情况预测收益、成本和费用，同时应编制所有者权益变动表</w:t>
      </w:r>
      <w:r>
        <w:rPr>
          <w:rFonts w:hint="eastAsia" w:ascii="Times New Roman" w:hAnsi="Times New Roman"/>
          <w:spacing w:val="-1"/>
          <w:sz w:val="32"/>
          <w:szCs w:val="32"/>
          <w:lang w:val="zh-TW"/>
        </w:rPr>
        <w:t>（参见案例二）</w:t>
      </w:r>
      <w:r>
        <w:rPr>
          <w:rFonts w:ascii="Times New Roman" w:hAnsi="Times New Roman"/>
          <w:spacing w:val="-1"/>
          <w:sz w:val="32"/>
          <w:szCs w:val="32"/>
          <w:lang w:val="zh-TW" w:eastAsia="zh-TW"/>
        </w:rPr>
        <w:t>。</w:t>
      </w:r>
    </w:p>
    <w:p>
      <w:pPr>
        <w:spacing w:line="360" w:lineRule="auto"/>
        <w:ind w:firstLine="636" w:firstLineChars="200"/>
        <w:rPr>
          <w:rFonts w:ascii="Times New Roman" w:hAnsi="Times New Roman"/>
          <w:spacing w:val="-1"/>
          <w:sz w:val="32"/>
          <w:szCs w:val="32"/>
          <w:lang w:val="zh-TW" w:eastAsia="zh-TW"/>
        </w:rPr>
      </w:pPr>
      <w:r>
        <w:rPr>
          <w:rFonts w:ascii="Times New Roman" w:hAnsi="Times New Roman"/>
          <w:spacing w:val="-1"/>
          <w:sz w:val="32"/>
          <w:szCs w:val="32"/>
          <w:lang w:val="zh-TW" w:eastAsia="zh-TW"/>
        </w:rPr>
        <w:t>第十条  收入预测中应根据企业的业务类型，细分收入构成项目，其中：</w:t>
      </w:r>
    </w:p>
    <w:p>
      <w:pPr>
        <w:spacing w:line="360" w:lineRule="auto"/>
        <w:ind w:firstLine="636" w:firstLineChars="200"/>
        <w:rPr>
          <w:rFonts w:ascii="Times New Roman" w:hAnsi="Times New Roman"/>
          <w:spacing w:val="-1"/>
          <w:sz w:val="32"/>
          <w:szCs w:val="32"/>
          <w:lang w:val="zh-TW"/>
        </w:rPr>
      </w:pPr>
      <w:r>
        <w:rPr>
          <w:rFonts w:ascii="Times New Roman" w:hAnsi="Times New Roman"/>
          <w:spacing w:val="-1"/>
          <w:sz w:val="32"/>
          <w:szCs w:val="32"/>
          <w:lang w:val="zh-TW"/>
        </w:rPr>
        <w:t>（一）</w:t>
      </w:r>
      <w:r>
        <w:rPr>
          <w:rFonts w:ascii="Times New Roman" w:hAnsi="Times New Roman"/>
          <w:spacing w:val="-1"/>
          <w:sz w:val="32"/>
          <w:szCs w:val="32"/>
          <w:lang w:val="zh-TW" w:eastAsia="zh-TW"/>
        </w:rPr>
        <w:t>银行收入包括利息收入、手续费收入、投资收益和其他业务收入等</w:t>
      </w:r>
      <w:r>
        <w:rPr>
          <w:rFonts w:ascii="Times New Roman" w:hAnsi="Times New Roman"/>
          <w:spacing w:val="-1"/>
          <w:sz w:val="32"/>
          <w:szCs w:val="32"/>
          <w:lang w:val="zh-TW"/>
        </w:rPr>
        <w:t>。</w:t>
      </w:r>
    </w:p>
    <w:p>
      <w:pPr>
        <w:spacing w:line="360" w:lineRule="auto"/>
        <w:ind w:firstLine="636" w:firstLineChars="200"/>
        <w:rPr>
          <w:rFonts w:ascii="Times New Roman" w:hAnsi="Times New Roman"/>
          <w:spacing w:val="-1"/>
          <w:sz w:val="32"/>
          <w:szCs w:val="32"/>
          <w:lang w:val="zh-TW"/>
        </w:rPr>
      </w:pPr>
      <w:r>
        <w:rPr>
          <w:rFonts w:ascii="Times New Roman" w:hAnsi="Times New Roman"/>
          <w:spacing w:val="-1"/>
          <w:sz w:val="32"/>
          <w:szCs w:val="32"/>
          <w:lang w:val="zh-TW" w:eastAsia="zh-TW"/>
        </w:rPr>
        <w:t>利息收入和支出预测中宜根据银行的贷款结构和确定的利率标准计算</w:t>
      </w:r>
      <w:r>
        <w:rPr>
          <w:rFonts w:hint="eastAsia" w:ascii="Times New Roman" w:hAnsi="Times New Roman"/>
          <w:spacing w:val="-1"/>
          <w:sz w:val="32"/>
          <w:szCs w:val="32"/>
          <w:lang w:val="zh-TW"/>
        </w:rPr>
        <w:t>利息</w:t>
      </w:r>
      <w:r>
        <w:rPr>
          <w:rFonts w:ascii="Times New Roman" w:hAnsi="Times New Roman"/>
          <w:spacing w:val="-1"/>
          <w:sz w:val="32"/>
          <w:szCs w:val="32"/>
          <w:lang w:val="zh-TW" w:eastAsia="zh-TW"/>
        </w:rPr>
        <w:t>收入和利息支出</w:t>
      </w:r>
      <w:r>
        <w:rPr>
          <w:rFonts w:ascii="Times New Roman" w:hAnsi="Times New Roman"/>
          <w:spacing w:val="-1"/>
          <w:sz w:val="32"/>
          <w:szCs w:val="32"/>
          <w:lang w:val="zh-TW"/>
        </w:rPr>
        <w:t>，</w:t>
      </w:r>
      <w:r>
        <w:rPr>
          <w:rFonts w:ascii="Times New Roman" w:hAnsi="Times New Roman"/>
          <w:spacing w:val="-1"/>
          <w:sz w:val="32"/>
          <w:szCs w:val="32"/>
          <w:lang w:val="zh-TW" w:eastAsia="zh-TW"/>
        </w:rPr>
        <w:t>应特别关注评估基准日后到评估报告出具日之间利率调整事项</w:t>
      </w:r>
      <w:r>
        <w:rPr>
          <w:rFonts w:ascii="Times New Roman" w:hAnsi="Times New Roman"/>
          <w:spacing w:val="-1"/>
          <w:sz w:val="32"/>
          <w:szCs w:val="32"/>
          <w:lang w:val="zh-TW"/>
        </w:rPr>
        <w:t>，</w:t>
      </w:r>
      <w:r>
        <w:rPr>
          <w:rFonts w:ascii="Times New Roman" w:hAnsi="Times New Roman"/>
          <w:spacing w:val="-1"/>
          <w:sz w:val="32"/>
          <w:szCs w:val="32"/>
          <w:lang w:val="zh-TW" w:eastAsia="zh-TW"/>
        </w:rPr>
        <w:t>并酌情考虑该调整事项对未来预测期</w:t>
      </w:r>
      <w:r>
        <w:rPr>
          <w:rFonts w:ascii="Times New Roman" w:hAnsi="Times New Roman"/>
          <w:spacing w:val="-1"/>
          <w:sz w:val="32"/>
          <w:szCs w:val="32"/>
          <w:lang w:val="zh-TW"/>
        </w:rPr>
        <w:t>的</w:t>
      </w:r>
      <w:r>
        <w:rPr>
          <w:rFonts w:ascii="Times New Roman" w:hAnsi="Times New Roman"/>
          <w:spacing w:val="-1"/>
          <w:sz w:val="32"/>
          <w:szCs w:val="32"/>
          <w:lang w:val="zh-TW" w:eastAsia="zh-TW"/>
        </w:rPr>
        <w:t>影响</w:t>
      </w:r>
      <w:r>
        <w:rPr>
          <w:rFonts w:ascii="Times New Roman" w:hAnsi="Times New Roman"/>
          <w:spacing w:val="-1"/>
          <w:sz w:val="32"/>
          <w:szCs w:val="32"/>
          <w:lang w:val="zh-TW"/>
        </w:rPr>
        <w:t>；</w:t>
      </w:r>
    </w:p>
    <w:p>
      <w:pPr>
        <w:spacing w:line="360" w:lineRule="auto"/>
        <w:ind w:firstLine="636" w:firstLineChars="200"/>
        <w:rPr>
          <w:rFonts w:ascii="Times New Roman" w:hAnsi="Times New Roman"/>
          <w:spacing w:val="-1"/>
          <w:sz w:val="32"/>
          <w:szCs w:val="32"/>
          <w:lang w:val="zh-TW"/>
        </w:rPr>
      </w:pPr>
      <w:r>
        <w:rPr>
          <w:rFonts w:ascii="Times New Roman" w:hAnsi="Times New Roman"/>
          <w:spacing w:val="-1"/>
          <w:sz w:val="32"/>
          <w:szCs w:val="32"/>
          <w:lang w:val="zh-TW"/>
        </w:rPr>
        <w:t>手续费收入应根据银行提供服务的项目类型和收费标准以及客户数量综合确定（参见案例</w:t>
      </w:r>
      <w:r>
        <w:rPr>
          <w:rFonts w:hint="eastAsia" w:ascii="Times New Roman" w:hAnsi="Times New Roman"/>
          <w:spacing w:val="-1"/>
          <w:sz w:val="32"/>
          <w:szCs w:val="32"/>
          <w:lang w:val="zh-TW"/>
        </w:rPr>
        <w:t>三</w:t>
      </w:r>
      <w:r>
        <w:rPr>
          <w:rFonts w:ascii="Times New Roman" w:hAnsi="Times New Roman"/>
          <w:spacing w:val="-1"/>
          <w:sz w:val="32"/>
          <w:szCs w:val="32"/>
          <w:lang w:val="zh-TW"/>
        </w:rPr>
        <w:t>）</w:t>
      </w:r>
      <w:r>
        <w:rPr>
          <w:rFonts w:hint="eastAsia" w:ascii="Times New Roman" w:hAnsi="Times New Roman"/>
          <w:spacing w:val="-1"/>
          <w:sz w:val="32"/>
          <w:szCs w:val="32"/>
          <w:lang w:val="zh-TW"/>
        </w:rPr>
        <w:t>。</w:t>
      </w:r>
    </w:p>
    <w:p>
      <w:pPr>
        <w:spacing w:line="360" w:lineRule="auto"/>
        <w:ind w:firstLine="636" w:firstLineChars="200"/>
        <w:rPr>
          <w:rFonts w:ascii="Times New Roman" w:hAnsi="Times New Roman"/>
          <w:spacing w:val="-1"/>
          <w:sz w:val="32"/>
          <w:szCs w:val="32"/>
          <w:lang w:val="zh-TW"/>
        </w:rPr>
      </w:pPr>
      <w:r>
        <w:rPr>
          <w:rFonts w:ascii="Times New Roman" w:hAnsi="Times New Roman"/>
          <w:spacing w:val="-1"/>
          <w:sz w:val="32"/>
          <w:szCs w:val="32"/>
          <w:lang w:val="zh-TW"/>
        </w:rPr>
        <w:t>（二）</w:t>
      </w:r>
      <w:r>
        <w:rPr>
          <w:rFonts w:ascii="Times New Roman" w:hAnsi="Times New Roman"/>
          <w:spacing w:val="-1"/>
          <w:sz w:val="32"/>
          <w:szCs w:val="32"/>
          <w:lang w:val="zh-TW" w:eastAsia="zh-TW"/>
        </w:rPr>
        <w:t>证券公司收入包括手续费及佣金收入、证券承销业务收入、代理买卖证券业务收入、利息收入、投资收益及其他业务收入等</w:t>
      </w:r>
      <w:r>
        <w:rPr>
          <w:rFonts w:ascii="Times New Roman" w:hAnsi="Times New Roman"/>
          <w:spacing w:val="-1"/>
          <w:sz w:val="32"/>
          <w:szCs w:val="32"/>
          <w:lang w:val="zh-TW"/>
        </w:rPr>
        <w:t>。</w:t>
      </w:r>
    </w:p>
    <w:p>
      <w:pPr>
        <w:spacing w:line="360" w:lineRule="auto"/>
        <w:ind w:firstLine="636" w:firstLineChars="200"/>
        <w:rPr>
          <w:rFonts w:ascii="Times New Roman" w:hAnsi="Times New Roman"/>
          <w:spacing w:val="-1"/>
          <w:sz w:val="32"/>
          <w:szCs w:val="32"/>
          <w:lang w:val="zh-TW"/>
        </w:rPr>
      </w:pPr>
      <w:r>
        <w:rPr>
          <w:rFonts w:ascii="Times New Roman" w:hAnsi="Times New Roman"/>
          <w:spacing w:val="-1"/>
          <w:sz w:val="32"/>
          <w:szCs w:val="32"/>
          <w:lang w:val="zh-TW"/>
        </w:rPr>
        <w:t>手续费及佣金收入主要来源于证券公司的经纪业务，预测中应考虑企业的佣金费率和客户数量以及市场交易量等综合测算（参见案例</w:t>
      </w:r>
      <w:r>
        <w:rPr>
          <w:rFonts w:hint="eastAsia" w:ascii="Times New Roman" w:hAnsi="Times New Roman"/>
          <w:spacing w:val="-1"/>
          <w:sz w:val="32"/>
          <w:szCs w:val="32"/>
          <w:lang w:val="zh-TW"/>
        </w:rPr>
        <w:t>四</w:t>
      </w:r>
      <w:r>
        <w:rPr>
          <w:rFonts w:ascii="Times New Roman" w:hAnsi="Times New Roman"/>
          <w:spacing w:val="-1"/>
          <w:sz w:val="32"/>
          <w:szCs w:val="32"/>
          <w:lang w:val="zh-TW"/>
        </w:rPr>
        <w:t>）</w:t>
      </w:r>
      <w:r>
        <w:rPr>
          <w:rFonts w:hint="eastAsia" w:ascii="Times New Roman" w:hAnsi="Times New Roman"/>
          <w:spacing w:val="-1"/>
          <w:sz w:val="32"/>
          <w:szCs w:val="32"/>
          <w:lang w:val="zh-TW"/>
        </w:rPr>
        <w:t>；</w:t>
      </w:r>
    </w:p>
    <w:p>
      <w:pPr>
        <w:spacing w:line="360" w:lineRule="auto"/>
        <w:ind w:firstLine="636" w:firstLineChars="200"/>
        <w:rPr>
          <w:rFonts w:ascii="Times New Roman" w:hAnsi="Times New Roman"/>
          <w:spacing w:val="-1"/>
          <w:sz w:val="32"/>
          <w:szCs w:val="32"/>
          <w:lang w:val="zh-TW" w:eastAsia="zh-TW"/>
        </w:rPr>
      </w:pPr>
      <w:r>
        <w:rPr>
          <w:rFonts w:ascii="Times New Roman" w:hAnsi="Times New Roman"/>
          <w:spacing w:val="-1"/>
          <w:sz w:val="32"/>
          <w:szCs w:val="32"/>
          <w:lang w:val="zh-TW" w:eastAsia="zh-TW"/>
        </w:rPr>
        <w:t>证券承销收入应根据证券公司的投资银行客户数量</w:t>
      </w:r>
      <w:r>
        <w:rPr>
          <w:rFonts w:ascii="Times New Roman" w:hAnsi="Times New Roman"/>
          <w:spacing w:val="-1"/>
          <w:sz w:val="32"/>
          <w:szCs w:val="32"/>
          <w:lang w:val="zh-TW"/>
        </w:rPr>
        <w:t>、</w:t>
      </w:r>
      <w:r>
        <w:rPr>
          <w:rFonts w:ascii="Times New Roman" w:hAnsi="Times New Roman"/>
          <w:spacing w:val="-1"/>
          <w:sz w:val="32"/>
          <w:szCs w:val="32"/>
          <w:lang w:val="zh-TW" w:eastAsia="zh-TW"/>
        </w:rPr>
        <w:t>承销费率</w:t>
      </w:r>
      <w:r>
        <w:rPr>
          <w:rFonts w:ascii="Times New Roman" w:hAnsi="Times New Roman"/>
          <w:spacing w:val="-1"/>
          <w:sz w:val="32"/>
          <w:szCs w:val="32"/>
          <w:lang w:val="zh-TW"/>
        </w:rPr>
        <w:t>，按照权责发生制预测。</w:t>
      </w:r>
    </w:p>
    <w:p>
      <w:pPr>
        <w:spacing w:line="360" w:lineRule="auto"/>
        <w:ind w:firstLine="636" w:firstLineChars="200"/>
        <w:rPr>
          <w:rFonts w:ascii="Times New Roman" w:hAnsi="Times New Roman"/>
          <w:spacing w:val="-1"/>
          <w:sz w:val="32"/>
          <w:szCs w:val="32"/>
          <w:lang w:val="zh-TW"/>
        </w:rPr>
      </w:pPr>
      <w:r>
        <w:rPr>
          <w:rFonts w:ascii="Times New Roman" w:hAnsi="Times New Roman"/>
          <w:spacing w:val="-1"/>
          <w:sz w:val="32"/>
          <w:szCs w:val="32"/>
          <w:lang w:val="zh-TW"/>
        </w:rPr>
        <w:t>（三）保险</w:t>
      </w:r>
      <w:r>
        <w:rPr>
          <w:rFonts w:ascii="Times New Roman" w:hAnsi="Times New Roman"/>
          <w:spacing w:val="-1"/>
          <w:sz w:val="32"/>
          <w:szCs w:val="32"/>
          <w:lang w:val="zh-TW" w:eastAsia="zh-TW"/>
        </w:rPr>
        <w:t>公司收入包括已赚保费、分出保费、提取未到期责任准备金、投资收益和其他业务收入等</w:t>
      </w:r>
      <w:r>
        <w:rPr>
          <w:rFonts w:ascii="Times New Roman" w:hAnsi="Times New Roman"/>
          <w:spacing w:val="-1"/>
          <w:sz w:val="32"/>
          <w:szCs w:val="32"/>
          <w:lang w:val="zh-TW"/>
        </w:rPr>
        <w:t>。</w:t>
      </w:r>
    </w:p>
    <w:p>
      <w:pPr>
        <w:spacing w:line="360" w:lineRule="auto"/>
        <w:ind w:firstLine="636" w:firstLineChars="200"/>
        <w:rPr>
          <w:rFonts w:ascii="Times New Roman" w:hAnsi="Times New Roman"/>
          <w:spacing w:val="-1"/>
          <w:sz w:val="32"/>
          <w:szCs w:val="32"/>
          <w:lang w:val="zh-TW"/>
        </w:rPr>
      </w:pPr>
      <w:r>
        <w:rPr>
          <w:rFonts w:ascii="Times New Roman" w:hAnsi="Times New Roman"/>
          <w:spacing w:val="-1"/>
          <w:sz w:val="32"/>
          <w:szCs w:val="32"/>
          <w:lang w:val="zh-TW"/>
        </w:rPr>
        <w:t>已赚保费=保险业务收入</w:t>
      </w:r>
      <w:r>
        <w:rPr>
          <w:rFonts w:hint="eastAsia" w:ascii="Times New Roman" w:hAnsi="Times New Roman"/>
          <w:spacing w:val="-1"/>
          <w:sz w:val="32"/>
          <w:szCs w:val="32"/>
        </w:rPr>
        <w:t>-</w:t>
      </w:r>
      <w:r>
        <w:rPr>
          <w:rFonts w:ascii="Times New Roman" w:hAnsi="Times New Roman"/>
          <w:spacing w:val="-1"/>
          <w:sz w:val="32"/>
          <w:szCs w:val="32"/>
          <w:lang w:val="zh-TW"/>
        </w:rPr>
        <w:t>分出保费</w:t>
      </w:r>
      <w:r>
        <w:rPr>
          <w:rFonts w:hint="eastAsia" w:ascii="Times New Roman" w:hAnsi="Times New Roman"/>
          <w:spacing w:val="-1"/>
          <w:sz w:val="32"/>
          <w:szCs w:val="32"/>
          <w:lang w:val="zh-TW"/>
        </w:rPr>
        <w:t>-</w:t>
      </w:r>
      <w:r>
        <w:rPr>
          <w:rFonts w:ascii="Times New Roman" w:hAnsi="Times New Roman"/>
          <w:spacing w:val="-1"/>
          <w:sz w:val="32"/>
          <w:szCs w:val="32"/>
          <w:lang w:val="zh-TW"/>
        </w:rPr>
        <w:t>提取未到期责任准备金</w:t>
      </w:r>
    </w:p>
    <w:p>
      <w:pPr>
        <w:spacing w:line="360" w:lineRule="auto"/>
        <w:ind w:firstLine="636" w:firstLineChars="200"/>
        <w:rPr>
          <w:rFonts w:ascii="Times New Roman" w:hAnsi="Times New Roman"/>
          <w:spacing w:val="-1"/>
          <w:sz w:val="32"/>
          <w:szCs w:val="32"/>
          <w:lang w:val="zh-TW"/>
        </w:rPr>
      </w:pPr>
      <w:r>
        <w:rPr>
          <w:rFonts w:ascii="Times New Roman" w:hAnsi="Times New Roman"/>
          <w:spacing w:val="-1"/>
          <w:sz w:val="32"/>
          <w:szCs w:val="32"/>
          <w:lang w:val="zh-TW"/>
        </w:rPr>
        <w:t>其中：保险业务收入由新业务期缴保费收入、新业务趸缴保费收入、续年期缴保费收入构成。新业务期缴/趸缴保费收入</w:t>
      </w:r>
      <w:r>
        <w:rPr>
          <w:rFonts w:ascii="Times New Roman" w:hAnsi="Times New Roman"/>
          <w:spacing w:val="-1"/>
          <w:sz w:val="32"/>
          <w:szCs w:val="32"/>
          <w:lang w:val="zh-TW" w:eastAsia="zh-TW"/>
        </w:rPr>
        <w:t>根据国民经济的整体发展和保险深度的加强，对未来市场进行预测，得出不同产品的保险业务收入</w:t>
      </w:r>
      <w:r>
        <w:rPr>
          <w:rFonts w:ascii="Times New Roman" w:hAnsi="Times New Roman"/>
          <w:spacing w:val="-1"/>
          <w:sz w:val="32"/>
          <w:szCs w:val="32"/>
          <w:lang w:val="zh-TW"/>
        </w:rPr>
        <w:t>，</w:t>
      </w:r>
      <w:r>
        <w:rPr>
          <w:rFonts w:ascii="Times New Roman" w:hAnsi="Times New Roman"/>
          <w:spacing w:val="-1"/>
          <w:sz w:val="32"/>
          <w:szCs w:val="32"/>
          <w:lang w:val="zh-TW" w:eastAsia="zh-TW"/>
        </w:rPr>
        <w:t>也</w:t>
      </w:r>
      <w:r>
        <w:rPr>
          <w:rFonts w:ascii="Times New Roman" w:hAnsi="Times New Roman"/>
          <w:spacing w:val="-1"/>
          <w:sz w:val="32"/>
          <w:szCs w:val="32"/>
          <w:lang w:val="zh-TW"/>
        </w:rPr>
        <w:t>可以根据保险公司的渠道销售能力，通过对年化新业务保费（ANP）增长率进行预测；续年期缴的保费收入可以根据基准日有效保单在未来产生的保费收入进行预测。</w:t>
      </w:r>
    </w:p>
    <w:p>
      <w:pPr>
        <w:spacing w:line="360" w:lineRule="auto"/>
        <w:ind w:firstLine="636" w:firstLineChars="200"/>
        <w:rPr>
          <w:rFonts w:ascii="Times New Roman" w:hAnsi="Times New Roman"/>
          <w:spacing w:val="-1"/>
          <w:sz w:val="32"/>
          <w:szCs w:val="32"/>
          <w:lang w:val="zh-TW"/>
        </w:rPr>
      </w:pPr>
      <w:r>
        <w:rPr>
          <w:rFonts w:ascii="Times New Roman" w:hAnsi="Times New Roman"/>
          <w:spacing w:val="-1"/>
          <w:sz w:val="32"/>
          <w:szCs w:val="32"/>
          <w:lang w:val="zh-TW"/>
        </w:rPr>
        <w:t>分出保费是保险公司为了控制风险、提高偿付能力充足率，将部分风险向再保险公司分出而产生的。根据保险公司对分出保费的核算方法，选择比例计算分出保费或者非比例计算分出保费。</w:t>
      </w:r>
    </w:p>
    <w:p>
      <w:pPr>
        <w:spacing w:line="360" w:lineRule="auto"/>
        <w:ind w:firstLine="636" w:firstLineChars="200"/>
        <w:rPr>
          <w:rFonts w:ascii="Times New Roman" w:hAnsi="Times New Roman"/>
          <w:spacing w:val="-1"/>
          <w:sz w:val="32"/>
          <w:szCs w:val="32"/>
          <w:lang w:val="zh-TW"/>
        </w:rPr>
      </w:pPr>
      <w:r>
        <w:rPr>
          <w:rFonts w:ascii="Times New Roman" w:hAnsi="Times New Roman"/>
          <w:spacing w:val="-1"/>
          <w:sz w:val="32"/>
          <w:szCs w:val="32"/>
          <w:lang w:val="zh-TW"/>
        </w:rPr>
        <w:t xml:space="preserve">未到期责任准备金是指公司一年以内的财产险、意外伤害险、健康险业务按规定从本期保险责任尚未到期，应属于下一年度的部分保险费中提取出来形成的准备金。 </w:t>
      </w:r>
    </w:p>
    <w:p>
      <w:pPr>
        <w:spacing w:line="360" w:lineRule="auto"/>
        <w:ind w:firstLine="636" w:firstLineChars="200"/>
        <w:rPr>
          <w:rFonts w:ascii="Times New Roman" w:hAnsi="Times New Roman"/>
          <w:spacing w:val="-1"/>
          <w:sz w:val="32"/>
          <w:szCs w:val="32"/>
          <w:lang w:val="zh-TW"/>
        </w:rPr>
      </w:pPr>
      <w:r>
        <w:rPr>
          <w:rFonts w:ascii="Times New Roman" w:hAnsi="Times New Roman"/>
          <w:spacing w:val="-1"/>
          <w:sz w:val="32"/>
          <w:szCs w:val="32"/>
          <w:lang w:val="zh-TW" w:eastAsia="zh-TW"/>
        </w:rPr>
        <w:t>寿险公司准备金的预测除根据现行的监管文件预测外，可以借助于保险公司的精算软件</w:t>
      </w:r>
      <w:r>
        <w:rPr>
          <w:rFonts w:ascii="Times New Roman" w:hAnsi="Times New Roman"/>
          <w:spacing w:val="-1"/>
          <w:sz w:val="32"/>
          <w:szCs w:val="32"/>
          <w:lang w:val="zh-TW"/>
        </w:rPr>
        <w:t>（参见案例</w:t>
      </w:r>
      <w:r>
        <w:rPr>
          <w:rFonts w:hint="eastAsia" w:ascii="Times New Roman" w:hAnsi="Times New Roman"/>
          <w:spacing w:val="-1"/>
          <w:sz w:val="32"/>
          <w:szCs w:val="32"/>
          <w:lang w:val="zh-TW"/>
        </w:rPr>
        <w:t>五</w:t>
      </w:r>
      <w:r>
        <w:rPr>
          <w:rFonts w:ascii="Times New Roman" w:hAnsi="Times New Roman"/>
          <w:spacing w:val="-1"/>
          <w:sz w:val="32"/>
          <w:szCs w:val="32"/>
          <w:lang w:val="zh-TW"/>
        </w:rPr>
        <w:t>）</w:t>
      </w:r>
      <w:r>
        <w:rPr>
          <w:rFonts w:hint="eastAsia" w:ascii="Times New Roman" w:hAnsi="Times New Roman"/>
          <w:spacing w:val="-1"/>
          <w:sz w:val="32"/>
          <w:szCs w:val="32"/>
          <w:lang w:val="zh-TW"/>
        </w:rPr>
        <w:t>。</w:t>
      </w:r>
    </w:p>
    <w:p>
      <w:pPr>
        <w:spacing w:line="360" w:lineRule="auto"/>
        <w:ind w:firstLine="636" w:firstLineChars="200"/>
        <w:rPr>
          <w:rFonts w:ascii="Times New Roman" w:hAnsi="Times New Roman"/>
          <w:spacing w:val="-1"/>
          <w:sz w:val="32"/>
          <w:szCs w:val="32"/>
          <w:lang w:val="zh-TW"/>
        </w:rPr>
      </w:pPr>
      <w:r>
        <w:rPr>
          <w:rFonts w:ascii="Times New Roman" w:hAnsi="Times New Roman"/>
          <w:spacing w:val="-1"/>
          <w:sz w:val="32"/>
          <w:szCs w:val="32"/>
          <w:lang w:val="zh-TW"/>
        </w:rPr>
        <w:t>（四）</w:t>
      </w:r>
      <w:r>
        <w:rPr>
          <w:rFonts w:ascii="Times New Roman" w:hAnsi="Times New Roman"/>
          <w:spacing w:val="-1"/>
          <w:sz w:val="32"/>
          <w:szCs w:val="32"/>
          <w:lang w:val="zh-TW" w:eastAsia="zh-TW"/>
        </w:rPr>
        <w:t>信托公司收入包括手续费及佣金收入、投资收益和其他业务收入等。</w:t>
      </w:r>
    </w:p>
    <w:p>
      <w:pPr>
        <w:spacing w:line="360" w:lineRule="auto"/>
        <w:ind w:firstLine="636" w:firstLineChars="200"/>
        <w:rPr>
          <w:rFonts w:ascii="Times New Roman" w:hAnsi="Times New Roman"/>
          <w:spacing w:val="-1"/>
          <w:sz w:val="32"/>
          <w:szCs w:val="32"/>
          <w:lang w:val="zh-TW"/>
        </w:rPr>
      </w:pPr>
      <w:r>
        <w:rPr>
          <w:rFonts w:ascii="Times New Roman" w:hAnsi="Times New Roman"/>
          <w:spacing w:val="-1"/>
          <w:sz w:val="32"/>
          <w:szCs w:val="32"/>
          <w:lang w:val="zh-TW" w:eastAsia="zh-TW"/>
        </w:rPr>
        <w:t>手续费及佣金收入应根据信托公司在信托业务</w:t>
      </w:r>
      <w:r>
        <w:rPr>
          <w:rFonts w:ascii="Times New Roman" w:hAnsi="Times New Roman"/>
          <w:spacing w:val="-1"/>
          <w:sz w:val="32"/>
          <w:szCs w:val="32"/>
          <w:lang w:val="zh-TW"/>
        </w:rPr>
        <w:t>中</w:t>
      </w:r>
      <w:r>
        <w:rPr>
          <w:rFonts w:ascii="Times New Roman" w:hAnsi="Times New Roman"/>
          <w:spacing w:val="-1"/>
          <w:sz w:val="32"/>
          <w:szCs w:val="32"/>
          <w:lang w:val="zh-TW" w:eastAsia="zh-TW"/>
        </w:rPr>
        <w:t>发挥的作用</w:t>
      </w:r>
      <w:r>
        <w:rPr>
          <w:rFonts w:ascii="Times New Roman" w:hAnsi="Times New Roman"/>
          <w:spacing w:val="-1"/>
          <w:sz w:val="32"/>
          <w:szCs w:val="32"/>
          <w:lang w:val="zh-TW"/>
        </w:rPr>
        <w:t>、</w:t>
      </w:r>
      <w:r>
        <w:rPr>
          <w:rFonts w:ascii="Times New Roman" w:hAnsi="Times New Roman"/>
          <w:spacing w:val="-1"/>
          <w:sz w:val="32"/>
          <w:szCs w:val="32"/>
          <w:lang w:val="zh-TW" w:eastAsia="zh-TW"/>
        </w:rPr>
        <w:t>提供的服务和信托产品的创新能力等综合判断</w:t>
      </w:r>
      <w:r>
        <w:rPr>
          <w:rFonts w:ascii="Times New Roman" w:hAnsi="Times New Roman"/>
          <w:spacing w:val="-1"/>
          <w:sz w:val="32"/>
          <w:szCs w:val="32"/>
          <w:lang w:val="zh-TW"/>
        </w:rPr>
        <w:t>，宜</w:t>
      </w:r>
      <w:r>
        <w:rPr>
          <w:rFonts w:ascii="Times New Roman" w:hAnsi="Times New Roman"/>
          <w:spacing w:val="-1"/>
          <w:sz w:val="32"/>
          <w:szCs w:val="32"/>
          <w:lang w:val="zh-TW" w:eastAsia="zh-TW"/>
        </w:rPr>
        <w:t>通过合理预测信托资产规模和信托手续费费率，其中信托手续费率宜采用评估对象本身的费率</w:t>
      </w:r>
      <w:r>
        <w:rPr>
          <w:rFonts w:ascii="Times New Roman" w:hAnsi="Times New Roman"/>
          <w:spacing w:val="-1"/>
          <w:sz w:val="32"/>
          <w:szCs w:val="32"/>
          <w:lang w:val="zh-TW"/>
        </w:rPr>
        <w:t>（参见案例</w:t>
      </w:r>
      <w:r>
        <w:rPr>
          <w:rFonts w:hint="eastAsia" w:ascii="Times New Roman" w:hAnsi="Times New Roman"/>
          <w:spacing w:val="-1"/>
          <w:sz w:val="32"/>
          <w:szCs w:val="32"/>
          <w:lang w:val="zh-TW"/>
        </w:rPr>
        <w:t>六</w:t>
      </w:r>
      <w:r>
        <w:rPr>
          <w:rFonts w:ascii="Times New Roman" w:hAnsi="Times New Roman"/>
          <w:spacing w:val="-1"/>
          <w:sz w:val="32"/>
          <w:szCs w:val="32"/>
          <w:lang w:val="zh-TW"/>
        </w:rPr>
        <w:t>）</w:t>
      </w:r>
      <w:r>
        <w:rPr>
          <w:rFonts w:hint="eastAsia" w:ascii="Times New Roman" w:hAnsi="Times New Roman"/>
          <w:spacing w:val="-1"/>
          <w:sz w:val="32"/>
          <w:szCs w:val="32"/>
          <w:lang w:val="zh-TW"/>
        </w:rPr>
        <w:t>。</w:t>
      </w:r>
    </w:p>
    <w:p>
      <w:pPr>
        <w:spacing w:line="360" w:lineRule="auto"/>
        <w:ind w:firstLine="636" w:firstLineChars="200"/>
        <w:rPr>
          <w:rFonts w:ascii="Times New Roman" w:hAnsi="Times New Roman"/>
          <w:spacing w:val="-1"/>
          <w:sz w:val="32"/>
          <w:szCs w:val="32"/>
          <w:lang w:val="zh-TW"/>
        </w:rPr>
      </w:pPr>
      <w:r>
        <w:rPr>
          <w:rFonts w:ascii="Times New Roman" w:hAnsi="Times New Roman"/>
          <w:spacing w:val="-1"/>
          <w:sz w:val="32"/>
          <w:szCs w:val="32"/>
          <w:lang w:val="zh-TW" w:eastAsia="zh-TW"/>
        </w:rPr>
        <w:t>第十</w:t>
      </w:r>
      <w:r>
        <w:rPr>
          <w:rFonts w:hint="eastAsia" w:ascii="Times New Roman" w:hAnsi="Times New Roman"/>
          <w:spacing w:val="-1"/>
          <w:sz w:val="32"/>
          <w:szCs w:val="32"/>
          <w:lang w:val="zh-TW"/>
        </w:rPr>
        <w:t>一</w:t>
      </w:r>
      <w:r>
        <w:rPr>
          <w:rFonts w:ascii="Times New Roman" w:hAnsi="Times New Roman"/>
          <w:spacing w:val="-1"/>
          <w:sz w:val="32"/>
          <w:szCs w:val="32"/>
          <w:lang w:val="zh-TW" w:eastAsia="zh-TW"/>
        </w:rPr>
        <w:t>条  金融企业的投资收益的预测宜根据资产配置规模和期望报酬率合理预测，其中投资收益的期望报酬率应注意与折现率中采用的股东期望报酬率之间的匹配关系。</w:t>
      </w:r>
    </w:p>
    <w:p>
      <w:pPr>
        <w:spacing w:line="360" w:lineRule="auto"/>
        <w:ind w:firstLine="636" w:firstLineChars="200"/>
        <w:rPr>
          <w:rFonts w:ascii="Times New Roman" w:hAnsi="Times New Roman"/>
          <w:spacing w:val="-1"/>
          <w:sz w:val="32"/>
          <w:szCs w:val="32"/>
          <w:lang w:val="zh-TW" w:eastAsia="zh-TW"/>
        </w:rPr>
      </w:pPr>
      <w:r>
        <w:rPr>
          <w:rFonts w:ascii="Times New Roman" w:hAnsi="Times New Roman"/>
          <w:spacing w:val="-1"/>
          <w:sz w:val="32"/>
          <w:szCs w:val="32"/>
          <w:lang w:val="zh-TW" w:eastAsia="zh-TW"/>
        </w:rPr>
        <w:t>第十</w:t>
      </w:r>
      <w:r>
        <w:rPr>
          <w:rFonts w:hint="eastAsia" w:ascii="Times New Roman" w:hAnsi="Times New Roman"/>
          <w:spacing w:val="-1"/>
          <w:sz w:val="32"/>
          <w:szCs w:val="32"/>
          <w:lang w:val="zh-TW"/>
        </w:rPr>
        <w:t>二</w:t>
      </w:r>
      <w:r>
        <w:rPr>
          <w:rFonts w:ascii="Times New Roman" w:hAnsi="Times New Roman"/>
          <w:spacing w:val="-1"/>
          <w:sz w:val="32"/>
          <w:szCs w:val="32"/>
          <w:lang w:val="zh-TW" w:eastAsia="zh-TW"/>
        </w:rPr>
        <w:t>条  金融企业的营业费用预测中，应考虑随着营业收入带来的费用必然增长。</w:t>
      </w:r>
    </w:p>
    <w:p>
      <w:pPr>
        <w:spacing w:line="360" w:lineRule="auto"/>
        <w:ind w:firstLine="636" w:firstLineChars="200"/>
        <w:rPr>
          <w:rFonts w:ascii="Times New Roman" w:hAnsi="Times New Roman"/>
          <w:spacing w:val="-1"/>
          <w:sz w:val="32"/>
          <w:szCs w:val="32"/>
          <w:lang w:val="zh-TW"/>
        </w:rPr>
      </w:pPr>
      <w:r>
        <w:rPr>
          <w:rFonts w:ascii="Times New Roman" w:hAnsi="Times New Roman"/>
          <w:spacing w:val="-1"/>
          <w:sz w:val="32"/>
          <w:szCs w:val="32"/>
          <w:lang w:val="zh-TW" w:eastAsia="zh-TW"/>
        </w:rPr>
        <w:t>在费用预测中，可以根据企业的核算特点，分别固定性费用和变动性费用测算，其中人员费用应注意到人员数量与人均工资薪酬的匹配。同时应知悉同行业的平均水平。</w:t>
      </w:r>
      <w:r>
        <w:rPr>
          <w:rFonts w:ascii="Times New Roman" w:hAnsi="Times New Roman"/>
          <w:spacing w:val="-1"/>
          <w:sz w:val="32"/>
          <w:szCs w:val="32"/>
          <w:lang w:val="zh-TW"/>
        </w:rPr>
        <w:t>（参见案例</w:t>
      </w:r>
      <w:r>
        <w:rPr>
          <w:rFonts w:hint="eastAsia" w:ascii="Times New Roman" w:hAnsi="Times New Roman"/>
          <w:spacing w:val="-1"/>
          <w:sz w:val="32"/>
          <w:szCs w:val="32"/>
          <w:lang w:val="zh-TW"/>
        </w:rPr>
        <w:t>七</w:t>
      </w:r>
      <w:r>
        <w:rPr>
          <w:rFonts w:ascii="Times New Roman" w:hAnsi="Times New Roman"/>
          <w:spacing w:val="-1"/>
          <w:sz w:val="32"/>
          <w:szCs w:val="32"/>
          <w:lang w:val="zh-TW"/>
        </w:rPr>
        <w:t>）</w:t>
      </w:r>
    </w:p>
    <w:p>
      <w:pPr>
        <w:spacing w:line="360" w:lineRule="auto"/>
        <w:ind w:firstLine="636" w:firstLineChars="200"/>
        <w:rPr>
          <w:rFonts w:ascii="Times New Roman" w:hAnsi="Times New Roman"/>
          <w:spacing w:val="-1"/>
          <w:sz w:val="32"/>
          <w:szCs w:val="32"/>
          <w:lang w:val="zh-TW"/>
        </w:rPr>
      </w:pPr>
      <w:r>
        <w:rPr>
          <w:rFonts w:ascii="Times New Roman" w:hAnsi="Times New Roman"/>
          <w:spacing w:val="-1"/>
          <w:sz w:val="32"/>
          <w:szCs w:val="32"/>
          <w:lang w:val="zh-TW" w:eastAsia="zh-TW"/>
        </w:rPr>
        <w:t>第十</w:t>
      </w:r>
      <w:r>
        <w:rPr>
          <w:rFonts w:hint="eastAsia" w:ascii="Times New Roman" w:hAnsi="Times New Roman"/>
          <w:spacing w:val="-1"/>
          <w:sz w:val="32"/>
          <w:szCs w:val="32"/>
          <w:lang w:val="zh-TW"/>
        </w:rPr>
        <w:t>三</w:t>
      </w:r>
      <w:r>
        <w:rPr>
          <w:rFonts w:ascii="Times New Roman" w:hAnsi="Times New Roman"/>
          <w:spacing w:val="-1"/>
          <w:sz w:val="32"/>
          <w:szCs w:val="32"/>
          <w:lang w:val="zh-TW" w:eastAsia="zh-TW"/>
        </w:rPr>
        <w:t>条  金融企业的资本性支出科目的预测应根据行业监管的要求逐年测算，特别注意监管中对于净资本的要求。如：根据银行业监督管理部门对银行的资本充足率的要求，预测银行的资本、净资本，并转化为净资产，体现在预测的资产负债表中。</w:t>
      </w:r>
    </w:p>
    <w:p>
      <w:pPr>
        <w:spacing w:line="360" w:lineRule="auto"/>
        <w:ind w:firstLine="636" w:firstLineChars="200"/>
        <w:rPr>
          <w:rFonts w:ascii="Times New Roman" w:hAnsi="Times New Roman"/>
          <w:spacing w:val="-1"/>
          <w:sz w:val="32"/>
          <w:szCs w:val="32"/>
          <w:lang w:val="zh-TW" w:eastAsia="zh-TW"/>
        </w:rPr>
      </w:pPr>
      <w:r>
        <w:rPr>
          <w:rFonts w:ascii="Times New Roman" w:hAnsi="Times New Roman"/>
          <w:spacing w:val="-1"/>
          <w:sz w:val="32"/>
          <w:szCs w:val="32"/>
          <w:lang w:val="zh-TW" w:eastAsia="zh-TW"/>
        </w:rPr>
        <w:t>第十</w:t>
      </w:r>
      <w:r>
        <w:rPr>
          <w:rFonts w:hint="eastAsia" w:ascii="Times New Roman" w:hAnsi="Times New Roman"/>
          <w:spacing w:val="-1"/>
          <w:sz w:val="32"/>
          <w:szCs w:val="32"/>
          <w:lang w:val="zh-TW"/>
        </w:rPr>
        <w:t>四</w:t>
      </w:r>
      <w:r>
        <w:rPr>
          <w:rFonts w:ascii="Times New Roman" w:hAnsi="Times New Roman"/>
          <w:spacing w:val="-1"/>
          <w:sz w:val="32"/>
          <w:szCs w:val="32"/>
          <w:lang w:val="zh-TW" w:eastAsia="zh-TW"/>
        </w:rPr>
        <w:t>条  在金融控股公司的评估中，有两种思路可供选择。</w:t>
      </w:r>
    </w:p>
    <w:p>
      <w:pPr>
        <w:spacing w:line="360" w:lineRule="auto"/>
        <w:ind w:firstLine="636" w:firstLineChars="200"/>
        <w:rPr>
          <w:rFonts w:ascii="Times New Roman" w:hAnsi="Times New Roman"/>
          <w:spacing w:val="-1"/>
          <w:sz w:val="32"/>
          <w:szCs w:val="32"/>
          <w:lang w:val="zh-TW" w:eastAsia="zh-TW"/>
        </w:rPr>
      </w:pPr>
      <w:r>
        <w:rPr>
          <w:rFonts w:ascii="Times New Roman" w:hAnsi="Times New Roman"/>
          <w:spacing w:val="-1"/>
          <w:sz w:val="32"/>
          <w:szCs w:val="32"/>
          <w:lang w:val="zh-TW" w:eastAsia="zh-TW"/>
        </w:rPr>
        <w:t>第一种思路：以母公司报表为基础评估金融控股公司价值</w:t>
      </w:r>
    </w:p>
    <w:p>
      <w:pPr>
        <w:spacing w:line="360" w:lineRule="auto"/>
        <w:ind w:firstLine="636" w:firstLineChars="200"/>
        <w:rPr>
          <w:rFonts w:ascii="Times New Roman" w:hAnsi="Times New Roman"/>
          <w:spacing w:val="-1"/>
          <w:sz w:val="32"/>
          <w:szCs w:val="32"/>
          <w:lang w:val="zh-TW" w:eastAsia="zh-TW"/>
        </w:rPr>
      </w:pPr>
      <w:r>
        <w:rPr>
          <w:rFonts w:ascii="Times New Roman" w:hAnsi="Times New Roman"/>
          <w:spacing w:val="-1"/>
          <w:sz w:val="32"/>
          <w:szCs w:val="32"/>
          <w:lang w:val="zh-TW" w:eastAsia="zh-TW"/>
        </w:rPr>
        <w:t>在这种模式下，金融控股公司总部为管理性总部，为费用中心，发挥控股内部资源配置的作用。各子公司在总部的管理下根据业务范围独立经营，在收益法评估中，可以对金融控股企业母公司及各长投板块分别采用相应的收益法评估模型进行评估，将各长投板块评估值作为溢余资产加回。</w:t>
      </w:r>
    </w:p>
    <w:p>
      <w:pPr>
        <w:spacing w:line="360" w:lineRule="auto"/>
        <w:ind w:firstLine="636" w:firstLineChars="200"/>
        <w:rPr>
          <w:rFonts w:ascii="Times New Roman" w:hAnsi="Times New Roman"/>
          <w:spacing w:val="-1"/>
          <w:sz w:val="32"/>
          <w:szCs w:val="32"/>
          <w:lang w:val="zh-TW" w:eastAsia="zh-TW"/>
        </w:rPr>
      </w:pPr>
      <w:r>
        <w:rPr>
          <w:rFonts w:ascii="Times New Roman" w:hAnsi="Times New Roman"/>
          <w:spacing w:val="-1"/>
          <w:sz w:val="32"/>
          <w:szCs w:val="32"/>
          <w:lang w:val="zh-TW" w:eastAsia="zh-TW"/>
        </w:rPr>
        <w:t>各长投板块评估模型的参数确定参照以上</w:t>
      </w:r>
      <w:r>
        <w:rPr>
          <w:rFonts w:hint="eastAsia" w:ascii="Times New Roman" w:hAnsi="Times New Roman"/>
          <w:spacing w:val="-1"/>
          <w:sz w:val="32"/>
          <w:szCs w:val="32"/>
          <w:lang w:val="zh-TW"/>
        </w:rPr>
        <w:t>相关</w:t>
      </w:r>
      <w:r>
        <w:rPr>
          <w:rFonts w:ascii="Times New Roman" w:hAnsi="Times New Roman"/>
          <w:spacing w:val="-1"/>
          <w:sz w:val="32"/>
          <w:szCs w:val="32"/>
          <w:lang w:val="zh-TW" w:eastAsia="zh-TW"/>
        </w:rPr>
        <w:t>内容介绍的方法进行。不同之处在于金融控股公司母公司的折现率，可参照各个板块所在行业上市公司的风险系数结合板块权重进行设定。权重的确定通常根据收入或者利润比重进行测算，不应以资产作为权重确定的依据。</w:t>
      </w:r>
    </w:p>
    <w:p>
      <w:pPr>
        <w:spacing w:line="360" w:lineRule="auto"/>
        <w:ind w:firstLine="636" w:firstLineChars="200"/>
        <w:rPr>
          <w:rFonts w:ascii="Times New Roman" w:hAnsi="Times New Roman"/>
          <w:spacing w:val="-1"/>
          <w:sz w:val="32"/>
          <w:szCs w:val="32"/>
          <w:lang w:val="zh-TW" w:eastAsia="zh-TW"/>
        </w:rPr>
      </w:pPr>
      <w:r>
        <w:rPr>
          <w:rFonts w:ascii="Times New Roman" w:hAnsi="Times New Roman"/>
          <w:spacing w:val="-1"/>
          <w:sz w:val="32"/>
          <w:szCs w:val="32"/>
          <w:lang w:val="zh-TW" w:eastAsia="zh-TW"/>
        </w:rPr>
        <w:t>这种评估思路的优点是途径清晰，无需考虑剔除少数股东权益；缺点是金融控股企业各板块间的协同效应未能在估值中得到有效反映。</w:t>
      </w:r>
    </w:p>
    <w:p>
      <w:pPr>
        <w:spacing w:line="360" w:lineRule="auto"/>
        <w:ind w:firstLine="636" w:firstLineChars="200"/>
        <w:rPr>
          <w:rFonts w:ascii="Times New Roman" w:hAnsi="Times New Roman"/>
          <w:spacing w:val="-1"/>
          <w:sz w:val="32"/>
          <w:szCs w:val="32"/>
          <w:lang w:val="zh-TW" w:eastAsia="zh-TW"/>
        </w:rPr>
      </w:pPr>
      <w:r>
        <w:rPr>
          <w:rFonts w:ascii="Times New Roman" w:hAnsi="Times New Roman"/>
          <w:spacing w:val="-1"/>
          <w:sz w:val="32"/>
          <w:szCs w:val="32"/>
          <w:lang w:val="zh-TW" w:eastAsia="zh-TW"/>
        </w:rPr>
        <w:t>第二种思路：以合并会计报表和分部报告为基础评估金融控股公司价值</w:t>
      </w:r>
    </w:p>
    <w:p>
      <w:pPr>
        <w:spacing w:line="360" w:lineRule="auto"/>
        <w:ind w:firstLine="636" w:firstLineChars="200"/>
        <w:rPr>
          <w:rFonts w:ascii="Times New Roman" w:hAnsi="Times New Roman"/>
          <w:spacing w:val="-1"/>
          <w:sz w:val="32"/>
          <w:szCs w:val="32"/>
          <w:lang w:val="zh-TW" w:eastAsia="zh-TW"/>
        </w:rPr>
      </w:pPr>
      <w:r>
        <w:rPr>
          <w:rFonts w:ascii="Times New Roman" w:hAnsi="Times New Roman"/>
          <w:spacing w:val="-1"/>
          <w:sz w:val="32"/>
          <w:szCs w:val="32"/>
          <w:lang w:val="zh-TW" w:eastAsia="zh-TW"/>
        </w:rPr>
        <w:t>这种思路以金融控股企业合并利润表，分析合并口径的收入和成本构成，一般以合并审计报告中披露的分部报告信息作为预测基础，对各个板块业务类型逐一了解、分析，确定各个业务的收入和成本。这个过程和第一种思路中的途径近似。</w:t>
      </w:r>
    </w:p>
    <w:p>
      <w:pPr>
        <w:spacing w:line="360" w:lineRule="auto"/>
        <w:ind w:firstLine="636" w:firstLineChars="200"/>
        <w:rPr>
          <w:rFonts w:ascii="Times New Roman" w:hAnsi="Times New Roman"/>
          <w:spacing w:val="-1"/>
          <w:sz w:val="32"/>
          <w:szCs w:val="32"/>
          <w:lang w:val="zh-TW" w:eastAsia="zh-TW"/>
        </w:rPr>
      </w:pPr>
      <w:r>
        <w:rPr>
          <w:rFonts w:ascii="Times New Roman" w:hAnsi="Times New Roman"/>
          <w:spacing w:val="-1"/>
          <w:sz w:val="32"/>
          <w:szCs w:val="32"/>
          <w:lang w:val="zh-TW" w:eastAsia="zh-TW"/>
        </w:rPr>
        <w:t>在管理费用和营业费用的预测中，需要就金融控股公司整体测算，考虑各个板块之间的协同性。</w:t>
      </w:r>
    </w:p>
    <w:p>
      <w:pPr>
        <w:spacing w:line="360" w:lineRule="auto"/>
        <w:ind w:firstLine="636" w:firstLineChars="200"/>
        <w:rPr>
          <w:rFonts w:ascii="Times New Roman" w:hAnsi="Times New Roman"/>
          <w:spacing w:val="-1"/>
          <w:sz w:val="32"/>
          <w:szCs w:val="32"/>
          <w:lang w:val="zh-TW" w:eastAsia="zh-TW"/>
        </w:rPr>
      </w:pPr>
      <w:r>
        <w:rPr>
          <w:rFonts w:ascii="Times New Roman" w:hAnsi="Times New Roman"/>
          <w:spacing w:val="-1"/>
          <w:sz w:val="32"/>
          <w:szCs w:val="32"/>
          <w:lang w:val="zh-TW" w:eastAsia="zh-TW"/>
        </w:rPr>
        <w:t>这种评估思路的优点是能够在估值中反映板块间的协同效应。但是这种思路在操作中对于合并层面的所得税预测和少数股东损益的预测较为复杂。</w:t>
      </w:r>
    </w:p>
    <w:p>
      <w:pPr>
        <w:spacing w:line="360" w:lineRule="auto"/>
        <w:ind w:firstLine="636" w:firstLineChars="200"/>
        <w:rPr>
          <w:rFonts w:ascii="Times New Roman" w:hAnsi="Times New Roman"/>
          <w:spacing w:val="-1"/>
          <w:sz w:val="32"/>
          <w:szCs w:val="32"/>
          <w:lang w:val="zh-TW" w:eastAsia="zh-TW"/>
        </w:rPr>
      </w:pPr>
      <w:r>
        <w:rPr>
          <w:rFonts w:ascii="Times New Roman" w:hAnsi="Times New Roman"/>
          <w:spacing w:val="-1"/>
          <w:sz w:val="32"/>
          <w:szCs w:val="32"/>
          <w:lang w:val="zh-TW" w:eastAsia="zh-TW"/>
        </w:rPr>
        <w:t>我国目前的所得税政策在很大程度上出现了与会计准则趋同的趋势，会计政策与所得税政策之间的时间性差异在会计准则下基本得到了解决，永久性差异未能得到解决，但是永久性差异对价值评估而言，比重较小，可以忽略不计。</w:t>
      </w:r>
    </w:p>
    <w:p>
      <w:pPr>
        <w:spacing w:line="360" w:lineRule="auto"/>
        <w:ind w:firstLine="636" w:firstLineChars="200"/>
        <w:rPr>
          <w:rFonts w:ascii="Times New Roman" w:hAnsi="Times New Roman"/>
          <w:spacing w:val="-1"/>
          <w:sz w:val="32"/>
          <w:szCs w:val="32"/>
          <w:lang w:val="zh-TW"/>
        </w:rPr>
      </w:pPr>
      <w:r>
        <w:rPr>
          <w:rFonts w:ascii="Times New Roman" w:hAnsi="Times New Roman"/>
          <w:spacing w:val="-1"/>
          <w:sz w:val="32"/>
          <w:szCs w:val="32"/>
          <w:lang w:val="zh-TW" w:eastAsia="zh-TW"/>
        </w:rPr>
        <w:t>少数股东损益是按照各个子公司的公司章程规定，对利润分配形成的结果，由于金融控股公司对各专业公司持股比例可能存在差异，少数股东损益可以根据各公司盈利状况单独确定，加总确定少数股东损益</w:t>
      </w:r>
      <w:r>
        <w:rPr>
          <w:rFonts w:hint="eastAsia" w:ascii="Times New Roman" w:hAnsi="Times New Roman"/>
          <w:spacing w:val="-1"/>
          <w:sz w:val="32"/>
          <w:szCs w:val="32"/>
          <w:lang w:val="zh-TW"/>
        </w:rPr>
        <w:t>，</w:t>
      </w:r>
      <w:r>
        <w:rPr>
          <w:rFonts w:ascii="Times New Roman" w:hAnsi="Times New Roman"/>
          <w:spacing w:val="-1"/>
          <w:sz w:val="32"/>
          <w:szCs w:val="32"/>
          <w:lang w:val="zh-TW" w:eastAsia="zh-TW"/>
        </w:rPr>
        <w:t>也可以假设股利分配政策与评估基准日一致</w:t>
      </w:r>
      <w:r>
        <w:rPr>
          <w:rFonts w:hint="eastAsia" w:ascii="Times New Roman" w:hAnsi="Times New Roman"/>
          <w:spacing w:val="-1"/>
          <w:sz w:val="32"/>
          <w:szCs w:val="32"/>
          <w:lang w:val="zh-TW"/>
        </w:rPr>
        <w:t>，</w:t>
      </w:r>
      <w:r>
        <w:rPr>
          <w:rFonts w:ascii="Times New Roman" w:hAnsi="Times New Roman"/>
          <w:spacing w:val="-1"/>
          <w:sz w:val="32"/>
          <w:szCs w:val="32"/>
          <w:lang w:val="zh-TW" w:eastAsia="zh-TW"/>
        </w:rPr>
        <w:t>采取评估基准日</w:t>
      </w:r>
      <w:r>
        <w:rPr>
          <w:rFonts w:hint="eastAsia" w:ascii="Times New Roman" w:hAnsi="Times New Roman"/>
          <w:spacing w:val="-1"/>
          <w:sz w:val="32"/>
          <w:szCs w:val="32"/>
          <w:lang w:val="zh-TW"/>
        </w:rPr>
        <w:t>少数股东损益与净利润的比例进行简化处理，也可以采取其他适当的方式评估。</w:t>
      </w:r>
    </w:p>
    <w:p>
      <w:pPr>
        <w:spacing w:line="360" w:lineRule="auto"/>
        <w:ind w:firstLine="638" w:firstLineChars="200"/>
        <w:outlineLvl w:val="0"/>
        <w:rPr>
          <w:rFonts w:ascii="Times New Roman" w:hAnsi="Times New Roman"/>
          <w:b/>
          <w:spacing w:val="-1"/>
          <w:sz w:val="32"/>
          <w:szCs w:val="32"/>
          <w:lang w:val="zh-TW" w:eastAsia="zh-TW"/>
        </w:rPr>
      </w:pPr>
      <w:r>
        <w:rPr>
          <w:rFonts w:ascii="Times New Roman" w:hAnsi="Times New Roman"/>
          <w:b/>
          <w:spacing w:val="-1"/>
          <w:sz w:val="32"/>
          <w:szCs w:val="32"/>
          <w:lang w:val="zh-TW" w:eastAsia="zh-TW"/>
        </w:rPr>
        <w:t>四、</w:t>
      </w:r>
      <w:r>
        <w:rPr>
          <w:rFonts w:hint="eastAsia" w:ascii="Times New Roman" w:hAnsi="Times New Roman"/>
          <w:b/>
          <w:spacing w:val="-1"/>
          <w:sz w:val="32"/>
          <w:szCs w:val="32"/>
          <w:lang w:val="zh-TW"/>
        </w:rPr>
        <w:t>折现率</w:t>
      </w:r>
    </w:p>
    <w:p>
      <w:pPr>
        <w:spacing w:line="360" w:lineRule="auto"/>
        <w:ind w:firstLine="636" w:firstLineChars="200"/>
        <w:rPr>
          <w:rFonts w:ascii="Times New Roman" w:hAnsi="Times New Roman"/>
          <w:spacing w:val="-1"/>
          <w:sz w:val="32"/>
          <w:szCs w:val="32"/>
          <w:lang w:val="zh-TW" w:eastAsia="zh-TW"/>
        </w:rPr>
      </w:pPr>
      <w:r>
        <w:rPr>
          <w:rFonts w:ascii="Times New Roman" w:hAnsi="Times New Roman"/>
          <w:spacing w:val="-1"/>
          <w:sz w:val="32"/>
          <w:szCs w:val="32"/>
          <w:lang w:val="zh-TW" w:eastAsia="zh-TW"/>
        </w:rPr>
        <w:t>第十</w:t>
      </w:r>
      <w:r>
        <w:rPr>
          <w:rFonts w:hint="eastAsia" w:ascii="Times New Roman" w:hAnsi="Times New Roman"/>
          <w:spacing w:val="-1"/>
          <w:sz w:val="32"/>
          <w:szCs w:val="32"/>
          <w:lang w:val="zh-TW"/>
        </w:rPr>
        <w:t>五</w:t>
      </w:r>
      <w:r>
        <w:rPr>
          <w:rFonts w:ascii="Times New Roman" w:hAnsi="Times New Roman"/>
          <w:spacing w:val="-1"/>
          <w:sz w:val="32"/>
          <w:szCs w:val="32"/>
          <w:lang w:val="zh-TW" w:eastAsia="zh-TW"/>
        </w:rPr>
        <w:t>条  在股权自由现金流量折现模型中</w:t>
      </w:r>
      <w:r>
        <w:rPr>
          <w:rFonts w:hint="eastAsia" w:ascii="Times New Roman" w:hAnsi="Times New Roman"/>
          <w:spacing w:val="-1"/>
          <w:sz w:val="32"/>
          <w:szCs w:val="32"/>
          <w:lang w:val="zh-TW"/>
        </w:rPr>
        <w:t>，可以</w:t>
      </w:r>
      <w:r>
        <w:rPr>
          <w:rFonts w:ascii="Times New Roman" w:hAnsi="Times New Roman"/>
          <w:spacing w:val="-1"/>
          <w:sz w:val="32"/>
          <w:szCs w:val="32"/>
          <w:lang w:val="zh-TW" w:eastAsia="zh-TW"/>
        </w:rPr>
        <w:t>采用资本资产定价模型（CAPM）等确定折现率。</w:t>
      </w:r>
    </w:p>
    <w:p>
      <w:pPr>
        <w:spacing w:line="360" w:lineRule="auto"/>
        <w:ind w:firstLine="636" w:firstLineChars="200"/>
        <w:rPr>
          <w:rFonts w:ascii="Times New Roman" w:hAnsi="Times New Roman"/>
          <w:spacing w:val="-1"/>
          <w:sz w:val="32"/>
          <w:szCs w:val="32"/>
        </w:rPr>
      </w:pPr>
      <w:r>
        <w:rPr>
          <w:rFonts w:ascii="Times New Roman" w:hAnsi="Times New Roman"/>
          <w:spacing w:val="-1"/>
          <w:sz w:val="32"/>
          <w:szCs w:val="32"/>
        </w:rPr>
        <w:tab/>
      </w:r>
      <w:r>
        <w:rPr>
          <w:rFonts w:ascii="Times New Roman" w:hAnsi="Times New Roman" w:eastAsia="仿宋_GB2312" w:cs="Times New Roman"/>
          <w:spacing w:val="-1"/>
          <w:kern w:val="2"/>
          <w:sz w:val="32"/>
          <w:szCs w:val="32"/>
          <w:lang w:val="en-US" w:eastAsia="zh-CN" w:bidi="ar-SA"/>
        </w:rPr>
        <w:object>
          <v:shape id="_x0000_i1025" o:spt="75" type="#_x0000_t75" style="height:18.75pt;width:129pt;" o:ole="t" fillcolor="#FFFFFF" filled="f" o:preferrelative="t" stroked="f" coordsize="21600,21600">
            <v:path/>
            <v:fill on="f" color2="#FFFFFF" focussize="0,0"/>
            <v:stroke on="f"/>
            <v:imagedata r:id="rId7" gain="65536f" blacklevel="0f" gamma="0" o:title=""/>
            <o:lock v:ext="edit" position="f" selection="f" grouping="f" rotation="f" cropping="f" text="f" aspectratio="t"/>
            <w10:wrap type="none"/>
            <w10:anchorlock/>
          </v:shape>
          <o:OLEObject Type="Embed" ProgID="Equation.3" ShapeID="_x0000_i1025" DrawAspect="Content" ObjectID="_1468075725" r:id="rId6"/>
        </w:object>
      </w:r>
      <w:r>
        <w:rPr>
          <w:rFonts w:ascii="Times New Roman" w:hAnsi="Times New Roman"/>
          <w:spacing w:val="-1"/>
          <w:sz w:val="32"/>
          <w:szCs w:val="32"/>
        </w:rPr>
        <w:tab/>
      </w:r>
      <w:r>
        <w:rPr>
          <w:rFonts w:ascii="Times New Roman" w:hAnsi="Times New Roman"/>
          <w:spacing w:val="-1"/>
          <w:sz w:val="32"/>
          <w:szCs w:val="32"/>
        </w:rPr>
        <w:t xml:space="preserve">                 </w:t>
      </w:r>
    </w:p>
    <w:p>
      <w:pPr>
        <w:spacing w:line="360" w:lineRule="auto"/>
        <w:ind w:firstLine="636" w:firstLineChars="200"/>
        <w:rPr>
          <w:rFonts w:ascii="Times New Roman" w:hAnsi="Times New Roman"/>
          <w:spacing w:val="-1"/>
          <w:sz w:val="32"/>
          <w:szCs w:val="32"/>
          <w:lang w:val="zh-TW" w:eastAsia="zh-TW"/>
        </w:rPr>
      </w:pPr>
      <w:r>
        <w:rPr>
          <w:rFonts w:ascii="Times New Roman" w:hAnsi="Times New Roman"/>
          <w:spacing w:val="-1"/>
          <w:sz w:val="32"/>
          <w:szCs w:val="32"/>
          <w:lang w:val="zh-TW" w:eastAsia="zh-TW"/>
        </w:rPr>
        <w:t>式中：</w:t>
      </w:r>
    </w:p>
    <w:p>
      <w:pPr>
        <w:spacing w:line="360" w:lineRule="auto"/>
        <w:ind w:firstLine="636" w:firstLineChars="200"/>
        <w:rPr>
          <w:rFonts w:ascii="Times New Roman" w:hAnsi="Times New Roman"/>
          <w:spacing w:val="-1"/>
          <w:sz w:val="32"/>
          <w:szCs w:val="32"/>
          <w:lang w:val="zh-TW" w:eastAsia="zh-TW"/>
        </w:rPr>
      </w:pPr>
      <w:r>
        <w:rPr>
          <w:rFonts w:ascii="Times New Roman" w:hAnsi="Times New Roman"/>
          <w:spacing w:val="-1"/>
          <w:sz w:val="32"/>
          <w:szCs w:val="32"/>
          <w:lang w:val="zh-TW" w:eastAsia="zh-TW"/>
        </w:rPr>
        <w:t>r</w:t>
      </w:r>
      <w:r>
        <w:rPr>
          <w:rFonts w:ascii="Times New Roman" w:hAnsi="Times New Roman"/>
          <w:spacing w:val="-1"/>
          <w:sz w:val="32"/>
          <w:szCs w:val="32"/>
          <w:vertAlign w:val="subscript"/>
          <w:lang w:val="zh-TW" w:eastAsia="zh-TW"/>
        </w:rPr>
        <w:t>f</w:t>
      </w:r>
      <w:r>
        <w:rPr>
          <w:rFonts w:ascii="Times New Roman" w:hAnsi="Times New Roman"/>
          <w:spacing w:val="-1"/>
          <w:sz w:val="32"/>
          <w:szCs w:val="32"/>
          <w:lang w:val="zh-TW" w:eastAsia="zh-TW"/>
        </w:rPr>
        <w:t>：无风险报酬率；</w:t>
      </w:r>
    </w:p>
    <w:p>
      <w:pPr>
        <w:spacing w:line="360" w:lineRule="auto"/>
        <w:ind w:firstLine="636" w:firstLineChars="200"/>
        <w:rPr>
          <w:rFonts w:ascii="Times New Roman" w:hAnsi="Times New Roman"/>
          <w:spacing w:val="-1"/>
          <w:sz w:val="32"/>
          <w:szCs w:val="32"/>
          <w:lang w:val="zh-TW" w:eastAsia="zh-TW"/>
        </w:rPr>
      </w:pPr>
      <w:r>
        <w:rPr>
          <w:rFonts w:ascii="Times New Roman" w:hAnsi="Times New Roman"/>
          <w:spacing w:val="-1"/>
          <w:sz w:val="32"/>
          <w:szCs w:val="32"/>
          <w:lang w:val="zh-TW" w:eastAsia="zh-TW"/>
        </w:rPr>
        <w:t>r</w:t>
      </w:r>
      <w:r>
        <w:rPr>
          <w:rFonts w:ascii="Times New Roman" w:hAnsi="Times New Roman"/>
          <w:spacing w:val="-1"/>
          <w:sz w:val="32"/>
          <w:szCs w:val="32"/>
          <w:vertAlign w:val="subscript"/>
          <w:lang w:val="zh-TW" w:eastAsia="zh-TW"/>
        </w:rPr>
        <w:t>m</w:t>
      </w:r>
      <w:r>
        <w:rPr>
          <w:rFonts w:ascii="Times New Roman" w:hAnsi="Times New Roman"/>
          <w:spacing w:val="-1"/>
          <w:sz w:val="32"/>
          <w:szCs w:val="32"/>
          <w:lang w:val="zh-TW" w:eastAsia="zh-TW"/>
        </w:rPr>
        <w:t>：市场期望报酬率；</w:t>
      </w:r>
    </w:p>
    <w:p>
      <w:pPr>
        <w:spacing w:line="360" w:lineRule="auto"/>
        <w:ind w:firstLine="636" w:firstLineChars="200"/>
        <w:rPr>
          <w:rFonts w:ascii="Times New Roman" w:hAnsi="Times New Roman"/>
          <w:spacing w:val="-1"/>
          <w:sz w:val="32"/>
          <w:szCs w:val="32"/>
          <w:lang w:val="zh-TW"/>
        </w:rPr>
      </w:pPr>
      <w:r>
        <w:rPr>
          <w:rFonts w:ascii="Times New Roman" w:hAnsi="Times New Roman"/>
          <w:spacing w:val="-1"/>
          <w:sz w:val="32"/>
          <w:szCs w:val="32"/>
          <w:lang w:val="zh-TW" w:eastAsia="zh-TW"/>
        </w:rPr>
        <w:t>β</w:t>
      </w:r>
      <w:r>
        <w:rPr>
          <w:rFonts w:ascii="Times New Roman" w:hAnsi="Times New Roman"/>
          <w:spacing w:val="-1"/>
          <w:sz w:val="32"/>
          <w:szCs w:val="32"/>
          <w:vertAlign w:val="subscript"/>
          <w:lang w:val="zh-TW" w:eastAsia="zh-TW"/>
        </w:rPr>
        <w:t>e</w:t>
      </w:r>
      <w:r>
        <w:rPr>
          <w:rFonts w:ascii="Times New Roman" w:hAnsi="Times New Roman"/>
          <w:spacing w:val="-1"/>
          <w:sz w:val="32"/>
          <w:szCs w:val="32"/>
          <w:lang w:val="zh-TW" w:eastAsia="zh-TW"/>
        </w:rPr>
        <w:t>：评估对象权益资本的预期市场风险系数；</w:t>
      </w:r>
    </w:p>
    <w:p>
      <w:pPr>
        <w:spacing w:line="360" w:lineRule="auto"/>
        <w:ind w:firstLine="636" w:firstLineChars="200"/>
        <w:rPr>
          <w:rFonts w:ascii="Times New Roman" w:hAnsi="Times New Roman"/>
          <w:spacing w:val="-1"/>
          <w:sz w:val="32"/>
          <w:szCs w:val="32"/>
          <w:lang w:val="zh-TW"/>
        </w:rPr>
      </w:pPr>
      <w:r>
        <w:rPr>
          <w:rFonts w:ascii="Times New Roman" w:hAnsi="Times New Roman"/>
          <w:spacing w:val="-1"/>
          <w:sz w:val="32"/>
          <w:szCs w:val="32"/>
          <w:lang w:val="zh-TW" w:eastAsia="zh-TW"/>
        </w:rPr>
        <w:t>r</w:t>
      </w:r>
      <w:r>
        <w:rPr>
          <w:rFonts w:ascii="Times New Roman" w:hAnsi="Times New Roman"/>
          <w:spacing w:val="-1"/>
          <w:sz w:val="32"/>
          <w:szCs w:val="32"/>
          <w:vertAlign w:val="subscript"/>
          <w:lang w:val="zh-TW" w:eastAsia="zh-TW"/>
        </w:rPr>
        <w:t>m</w:t>
      </w:r>
      <w:r>
        <w:rPr>
          <w:rFonts w:ascii="Times New Roman" w:hAnsi="Times New Roman"/>
          <w:spacing w:val="-1"/>
          <w:sz w:val="32"/>
          <w:szCs w:val="32"/>
          <w:vertAlign w:val="subscript"/>
          <w:lang w:val="zh-TW"/>
        </w:rPr>
        <w:t>-</w:t>
      </w:r>
      <w:r>
        <w:rPr>
          <w:rFonts w:ascii="Times New Roman" w:hAnsi="Times New Roman"/>
          <w:spacing w:val="-1"/>
          <w:sz w:val="32"/>
          <w:szCs w:val="32"/>
          <w:lang w:val="zh-TW" w:eastAsia="zh-TW"/>
        </w:rPr>
        <w:t xml:space="preserve"> r</w:t>
      </w:r>
      <w:r>
        <w:rPr>
          <w:rFonts w:ascii="Times New Roman" w:hAnsi="Times New Roman"/>
          <w:spacing w:val="-1"/>
          <w:sz w:val="32"/>
          <w:szCs w:val="32"/>
          <w:vertAlign w:val="subscript"/>
          <w:lang w:val="zh-TW" w:eastAsia="zh-TW"/>
        </w:rPr>
        <w:t>f</w:t>
      </w:r>
      <w:r>
        <w:rPr>
          <w:rFonts w:ascii="Times New Roman" w:hAnsi="Times New Roman"/>
          <w:spacing w:val="-1"/>
          <w:sz w:val="32"/>
          <w:szCs w:val="32"/>
          <w:lang w:val="zh-TW"/>
        </w:rPr>
        <w:t>：</w:t>
      </w:r>
      <w:r>
        <w:rPr>
          <w:rFonts w:ascii="Times New Roman" w:hAnsi="Times New Roman"/>
          <w:spacing w:val="-1"/>
          <w:sz w:val="32"/>
          <w:szCs w:val="32"/>
          <w:lang w:val="zh-TW" w:eastAsia="zh-TW"/>
        </w:rPr>
        <w:t>股权风险溢价</w:t>
      </w:r>
      <w:r>
        <w:rPr>
          <w:rFonts w:hint="eastAsia" w:ascii="Times New Roman" w:hAnsi="Times New Roman"/>
          <w:spacing w:val="-1"/>
          <w:sz w:val="32"/>
          <w:szCs w:val="32"/>
          <w:lang w:val="zh-TW"/>
        </w:rPr>
        <w:t>；</w:t>
      </w:r>
    </w:p>
    <w:p>
      <w:pPr>
        <w:spacing w:line="360" w:lineRule="auto"/>
        <w:ind w:firstLine="636" w:firstLineChars="200"/>
        <w:rPr>
          <w:rFonts w:ascii="Times New Roman" w:hAnsi="Times New Roman"/>
          <w:spacing w:val="-1"/>
          <w:sz w:val="32"/>
          <w:szCs w:val="32"/>
          <w:lang w:val="zh-TW"/>
        </w:rPr>
      </w:pPr>
      <w:r>
        <w:rPr>
          <w:rFonts w:ascii="Times New Roman" w:hAnsi="Times New Roman"/>
          <w:spacing w:val="-1"/>
          <w:sz w:val="32"/>
          <w:szCs w:val="32"/>
          <w:lang w:val="zh-TW" w:eastAsia="zh-TW"/>
        </w:rPr>
        <w:t>ε：评估对象特</w:t>
      </w:r>
      <w:r>
        <w:rPr>
          <w:rFonts w:ascii="Times New Roman" w:hAnsi="Times New Roman"/>
          <w:spacing w:val="-1"/>
          <w:sz w:val="32"/>
          <w:szCs w:val="32"/>
          <w:lang w:val="zh-TW"/>
        </w:rPr>
        <w:t>有</w:t>
      </w:r>
      <w:r>
        <w:rPr>
          <w:rFonts w:ascii="Times New Roman" w:hAnsi="Times New Roman"/>
          <w:spacing w:val="-1"/>
          <w:sz w:val="32"/>
          <w:szCs w:val="32"/>
          <w:lang w:val="zh-TW" w:eastAsia="zh-TW"/>
        </w:rPr>
        <w:t>风险调整系数。</w:t>
      </w:r>
    </w:p>
    <w:p>
      <w:pPr>
        <w:spacing w:line="360" w:lineRule="auto"/>
        <w:ind w:firstLine="636" w:firstLineChars="200"/>
        <w:rPr>
          <w:rFonts w:ascii="Times New Roman" w:hAnsi="Times New Roman"/>
          <w:spacing w:val="-1"/>
          <w:sz w:val="32"/>
          <w:szCs w:val="32"/>
          <w:lang w:val="zh-TW"/>
        </w:rPr>
      </w:pPr>
      <w:r>
        <w:rPr>
          <w:rFonts w:ascii="Times New Roman" w:hAnsi="Times New Roman"/>
          <w:spacing w:val="-1"/>
          <w:sz w:val="32"/>
          <w:szCs w:val="32"/>
          <w:lang w:val="zh-TW" w:eastAsia="zh-TW"/>
        </w:rPr>
        <w:t>第</w:t>
      </w:r>
      <w:r>
        <w:rPr>
          <w:rFonts w:ascii="Times New Roman" w:hAnsi="Times New Roman"/>
          <w:spacing w:val="-1"/>
          <w:sz w:val="32"/>
          <w:szCs w:val="32"/>
          <w:lang w:val="zh-TW"/>
        </w:rPr>
        <w:t>十</w:t>
      </w:r>
      <w:r>
        <w:rPr>
          <w:rFonts w:hint="eastAsia" w:ascii="Times New Roman" w:hAnsi="Times New Roman"/>
          <w:spacing w:val="-1"/>
          <w:sz w:val="32"/>
          <w:szCs w:val="32"/>
          <w:lang w:val="zh-TW"/>
        </w:rPr>
        <w:t>六</w:t>
      </w:r>
      <w:r>
        <w:rPr>
          <w:rFonts w:ascii="Times New Roman" w:hAnsi="Times New Roman"/>
          <w:spacing w:val="-1"/>
          <w:sz w:val="32"/>
          <w:szCs w:val="32"/>
          <w:lang w:val="zh-TW" w:eastAsia="zh-TW"/>
        </w:rPr>
        <w:t>条  无风险报酬率应选择在距离评估基准日有效期在</w:t>
      </w:r>
      <w:r>
        <w:rPr>
          <w:rFonts w:ascii="Times New Roman" w:hAnsi="Times New Roman"/>
          <w:spacing w:val="-1"/>
          <w:sz w:val="32"/>
          <w:szCs w:val="32"/>
          <w:lang w:val="zh-TW"/>
        </w:rPr>
        <w:t>10年以上或者5年以上的国债</w:t>
      </w:r>
      <w:r>
        <w:rPr>
          <w:rFonts w:hint="eastAsia" w:ascii="Times New Roman" w:hAnsi="Times New Roman"/>
          <w:spacing w:val="-1"/>
          <w:sz w:val="32"/>
          <w:szCs w:val="32"/>
          <w:lang w:val="zh-TW"/>
        </w:rPr>
        <w:t>到期收益率</w:t>
      </w:r>
      <w:r>
        <w:rPr>
          <w:rFonts w:ascii="Times New Roman" w:hAnsi="Times New Roman"/>
          <w:spacing w:val="-1"/>
          <w:sz w:val="32"/>
          <w:szCs w:val="32"/>
          <w:lang w:val="zh-TW"/>
        </w:rPr>
        <w:t>。</w:t>
      </w:r>
    </w:p>
    <w:p>
      <w:pPr>
        <w:spacing w:line="360" w:lineRule="auto"/>
        <w:ind w:firstLine="636" w:firstLineChars="200"/>
        <w:rPr>
          <w:rFonts w:ascii="Times New Roman" w:hAnsi="Times New Roman"/>
          <w:spacing w:val="-1"/>
          <w:sz w:val="32"/>
          <w:szCs w:val="32"/>
          <w:lang w:val="zh-TW" w:eastAsia="zh-TW"/>
        </w:rPr>
      </w:pPr>
      <w:r>
        <w:rPr>
          <w:rFonts w:ascii="Times New Roman" w:hAnsi="Times New Roman"/>
          <w:spacing w:val="-1"/>
          <w:sz w:val="32"/>
          <w:szCs w:val="32"/>
          <w:lang w:val="zh-TW"/>
        </w:rPr>
        <w:t>第十</w:t>
      </w:r>
      <w:r>
        <w:rPr>
          <w:rFonts w:hint="eastAsia" w:ascii="Times New Roman" w:hAnsi="Times New Roman"/>
          <w:spacing w:val="-1"/>
          <w:sz w:val="32"/>
          <w:szCs w:val="32"/>
          <w:lang w:val="zh-TW"/>
        </w:rPr>
        <w:t>七</w:t>
      </w:r>
      <w:r>
        <w:rPr>
          <w:rFonts w:ascii="Times New Roman" w:hAnsi="Times New Roman"/>
          <w:spacing w:val="-1"/>
          <w:sz w:val="32"/>
          <w:szCs w:val="32"/>
          <w:lang w:val="zh-TW"/>
        </w:rPr>
        <w:t xml:space="preserve">条 </w:t>
      </w:r>
      <w:r>
        <w:rPr>
          <w:rFonts w:ascii="Times New Roman" w:hAnsi="Times New Roman"/>
          <w:spacing w:val="-1"/>
          <w:sz w:val="32"/>
          <w:szCs w:val="32"/>
          <w:lang w:val="zh-TW" w:eastAsia="zh-TW"/>
        </w:rPr>
        <w:t>金融企业折现率中的贝塔值计算应注意基准日和未来预测期资本结构的影响，银行、证券、信托和保险公司多采用无杠杆贝塔，多元金融可以使用有杠杆贝塔值。</w:t>
      </w:r>
    </w:p>
    <w:p>
      <w:pPr>
        <w:spacing w:line="360" w:lineRule="auto"/>
        <w:ind w:firstLine="636" w:firstLineChars="200"/>
        <w:rPr>
          <w:rFonts w:ascii="Times New Roman" w:hAnsi="Times New Roman"/>
          <w:spacing w:val="-1"/>
          <w:sz w:val="32"/>
          <w:szCs w:val="32"/>
          <w:lang w:val="zh-TW"/>
        </w:rPr>
      </w:pPr>
      <w:r>
        <w:rPr>
          <w:rFonts w:ascii="Times New Roman" w:hAnsi="Times New Roman"/>
          <w:spacing w:val="-1"/>
          <w:sz w:val="32"/>
          <w:szCs w:val="32"/>
          <w:lang w:val="zh-TW" w:eastAsia="zh-TW"/>
        </w:rPr>
        <w:t>贝塔值计算应注意三个变量的选择</w:t>
      </w:r>
      <w:r>
        <w:rPr>
          <w:rFonts w:hint="eastAsia" w:ascii="Times New Roman" w:hAnsi="Times New Roman"/>
          <w:spacing w:val="-1"/>
          <w:sz w:val="32"/>
          <w:szCs w:val="32"/>
          <w:lang w:val="zh-TW"/>
        </w:rPr>
        <w:t>：</w:t>
      </w:r>
    </w:p>
    <w:p>
      <w:pPr>
        <w:spacing w:line="360" w:lineRule="auto"/>
        <w:ind w:firstLine="636" w:firstLineChars="200"/>
        <w:rPr>
          <w:rFonts w:ascii="Times New Roman" w:hAnsi="Times New Roman"/>
          <w:spacing w:val="-1"/>
          <w:sz w:val="32"/>
          <w:szCs w:val="32"/>
          <w:lang w:val="zh-TW"/>
        </w:rPr>
      </w:pPr>
      <w:r>
        <w:rPr>
          <w:rFonts w:hint="eastAsia" w:ascii="Times New Roman" w:hAnsi="Times New Roman"/>
          <w:spacing w:val="-1"/>
          <w:sz w:val="32"/>
          <w:szCs w:val="32"/>
          <w:lang w:val="zh-TW" w:eastAsia="zh-TW"/>
        </w:rPr>
        <w:t>作为市场近似的指数的选择</w:t>
      </w:r>
      <w:r>
        <w:rPr>
          <w:rFonts w:hint="eastAsia" w:ascii="Times New Roman" w:hAnsi="Times New Roman"/>
          <w:spacing w:val="-1"/>
          <w:sz w:val="32"/>
          <w:szCs w:val="32"/>
          <w:lang w:val="zh-TW"/>
        </w:rPr>
        <w:t>：</w:t>
      </w:r>
      <w:r>
        <w:rPr>
          <w:rFonts w:ascii="Times New Roman" w:hAnsi="Times New Roman"/>
          <w:spacing w:val="-1"/>
          <w:sz w:val="32"/>
          <w:szCs w:val="32"/>
          <w:lang w:val="zh-TW" w:eastAsia="zh-TW"/>
        </w:rPr>
        <w:t>可以选取上证指数</w:t>
      </w:r>
      <w:r>
        <w:rPr>
          <w:rFonts w:hint="eastAsia" w:ascii="Times New Roman" w:hAnsi="Times New Roman"/>
          <w:spacing w:val="-1"/>
          <w:sz w:val="32"/>
          <w:szCs w:val="32"/>
          <w:lang w:val="zh-TW"/>
        </w:rPr>
        <w:t>、</w:t>
      </w:r>
      <w:r>
        <w:rPr>
          <w:rFonts w:ascii="Times New Roman" w:hAnsi="Times New Roman"/>
          <w:spacing w:val="-1"/>
          <w:sz w:val="32"/>
          <w:szCs w:val="32"/>
          <w:lang w:val="zh-TW" w:eastAsia="zh-TW"/>
        </w:rPr>
        <w:t>深证成指</w:t>
      </w:r>
      <w:r>
        <w:rPr>
          <w:rFonts w:hint="eastAsia" w:ascii="Times New Roman" w:hAnsi="Times New Roman"/>
          <w:spacing w:val="-1"/>
          <w:sz w:val="32"/>
          <w:szCs w:val="32"/>
          <w:lang w:val="zh-TW"/>
        </w:rPr>
        <w:t>、</w:t>
      </w:r>
      <w:r>
        <w:rPr>
          <w:rFonts w:ascii="Times New Roman" w:hAnsi="Times New Roman"/>
          <w:spacing w:val="-1"/>
          <w:sz w:val="32"/>
          <w:szCs w:val="32"/>
          <w:lang w:val="zh-TW" w:eastAsia="zh-TW"/>
        </w:rPr>
        <w:t>沪深</w:t>
      </w:r>
      <w:r>
        <w:rPr>
          <w:rFonts w:hint="eastAsia" w:ascii="Times New Roman" w:hAnsi="Times New Roman"/>
          <w:spacing w:val="-1"/>
          <w:sz w:val="32"/>
          <w:szCs w:val="32"/>
          <w:lang w:val="zh-TW"/>
        </w:rPr>
        <w:t>300等指数；</w:t>
      </w:r>
    </w:p>
    <w:p>
      <w:pPr>
        <w:spacing w:line="360" w:lineRule="auto"/>
        <w:ind w:firstLine="636" w:firstLineChars="200"/>
        <w:rPr>
          <w:rFonts w:ascii="Times New Roman" w:hAnsi="Times New Roman"/>
          <w:spacing w:val="-1"/>
          <w:sz w:val="32"/>
          <w:szCs w:val="32"/>
          <w:lang w:val="zh-TW"/>
        </w:rPr>
      </w:pPr>
      <w:r>
        <w:rPr>
          <w:rFonts w:hint="eastAsia" w:ascii="Times New Roman" w:hAnsi="Times New Roman"/>
          <w:spacing w:val="-1"/>
          <w:sz w:val="32"/>
          <w:szCs w:val="32"/>
          <w:lang w:val="zh-TW" w:eastAsia="zh-TW"/>
        </w:rPr>
        <w:t>计算历史回报率的时间长度</w:t>
      </w:r>
      <w:r>
        <w:rPr>
          <w:rFonts w:hint="eastAsia" w:ascii="Times New Roman" w:hAnsi="Times New Roman"/>
          <w:spacing w:val="-1"/>
          <w:sz w:val="32"/>
          <w:szCs w:val="32"/>
          <w:lang w:val="zh-TW"/>
        </w:rPr>
        <w:t>：</w:t>
      </w:r>
      <w:r>
        <w:rPr>
          <w:rFonts w:hint="eastAsia" w:ascii="Times New Roman" w:hAnsi="Times New Roman"/>
          <w:spacing w:val="-1"/>
          <w:sz w:val="32"/>
          <w:szCs w:val="32"/>
          <w:lang w:val="zh-TW" w:eastAsia="zh-TW"/>
        </w:rPr>
        <w:t>一般</w:t>
      </w:r>
      <w:r>
        <w:rPr>
          <w:rFonts w:hint="eastAsia" w:ascii="Times New Roman" w:hAnsi="Times New Roman"/>
          <w:spacing w:val="-1"/>
          <w:sz w:val="32"/>
          <w:szCs w:val="32"/>
          <w:lang w:val="zh-TW"/>
        </w:rPr>
        <w:t>5年是最常见的用于外推的历史期间；</w:t>
      </w:r>
    </w:p>
    <w:p>
      <w:pPr>
        <w:spacing w:line="360" w:lineRule="auto"/>
        <w:ind w:firstLine="636" w:firstLineChars="200"/>
        <w:rPr>
          <w:rFonts w:ascii="Times New Roman" w:hAnsi="Times New Roman"/>
          <w:spacing w:val="-1"/>
          <w:sz w:val="32"/>
          <w:szCs w:val="32"/>
          <w:lang w:val="zh-TW"/>
        </w:rPr>
      </w:pPr>
      <w:r>
        <w:rPr>
          <w:rFonts w:hint="eastAsia" w:ascii="Times New Roman" w:hAnsi="Times New Roman"/>
          <w:spacing w:val="-1"/>
          <w:sz w:val="32"/>
          <w:szCs w:val="32"/>
          <w:lang w:val="zh-TW"/>
        </w:rPr>
        <w:t>回报率计算的周期：公开交易证券和市场回报的计量平度可以是每日、每周、每月、每季或者每年为基础。月度和周是使用频率较高的回报率计算周期。</w:t>
      </w:r>
    </w:p>
    <w:p>
      <w:pPr>
        <w:spacing w:line="360" w:lineRule="auto"/>
        <w:ind w:firstLine="636" w:firstLineChars="200"/>
        <w:rPr>
          <w:rFonts w:ascii="Times New Roman" w:hAnsi="Times New Roman"/>
          <w:spacing w:val="-1"/>
          <w:sz w:val="32"/>
          <w:szCs w:val="32"/>
          <w:lang w:val="zh-TW"/>
        </w:rPr>
      </w:pPr>
      <w:r>
        <w:rPr>
          <w:rFonts w:ascii="Times New Roman" w:hAnsi="Times New Roman"/>
          <w:spacing w:val="-1"/>
          <w:sz w:val="32"/>
          <w:szCs w:val="32"/>
          <w:lang w:val="zh-TW"/>
        </w:rPr>
        <w:t>第十</w:t>
      </w:r>
      <w:r>
        <w:rPr>
          <w:rFonts w:hint="eastAsia" w:ascii="Times New Roman" w:hAnsi="Times New Roman"/>
          <w:spacing w:val="-1"/>
          <w:sz w:val="32"/>
          <w:szCs w:val="32"/>
          <w:lang w:val="zh-TW"/>
        </w:rPr>
        <w:t>八</w:t>
      </w:r>
      <w:r>
        <w:rPr>
          <w:rFonts w:ascii="Times New Roman" w:hAnsi="Times New Roman"/>
          <w:spacing w:val="-1"/>
          <w:sz w:val="32"/>
          <w:szCs w:val="32"/>
          <w:lang w:val="zh-TW"/>
        </w:rPr>
        <w:t>条 股权风险溢价可以通过市场期望报酬率与无风险利率的差值</w:t>
      </w:r>
      <w:r>
        <w:rPr>
          <w:rFonts w:hint="eastAsia" w:ascii="Times New Roman" w:hAnsi="Times New Roman"/>
          <w:spacing w:val="-1"/>
          <w:sz w:val="32"/>
          <w:szCs w:val="32"/>
          <w:lang w:val="zh-TW"/>
        </w:rPr>
        <w:t>来</w:t>
      </w:r>
      <w:r>
        <w:rPr>
          <w:rFonts w:ascii="Times New Roman" w:hAnsi="Times New Roman"/>
          <w:spacing w:val="-1"/>
          <w:sz w:val="32"/>
          <w:szCs w:val="32"/>
          <w:lang w:val="zh-TW"/>
        </w:rPr>
        <w:t>确定，也可以直接计算股权风险溢价。</w:t>
      </w:r>
    </w:p>
    <w:p>
      <w:pPr>
        <w:spacing w:line="360" w:lineRule="auto"/>
        <w:ind w:firstLine="636" w:firstLineChars="200"/>
        <w:rPr>
          <w:rFonts w:ascii="Times New Roman" w:hAnsi="Times New Roman"/>
          <w:spacing w:val="-1"/>
          <w:sz w:val="32"/>
          <w:szCs w:val="32"/>
          <w:lang w:val="zh-TW"/>
        </w:rPr>
      </w:pPr>
      <w:r>
        <w:rPr>
          <w:rFonts w:hint="eastAsia" w:ascii="Times New Roman" w:hAnsi="Times New Roman"/>
          <w:spacing w:val="-1"/>
          <w:sz w:val="32"/>
          <w:szCs w:val="32"/>
          <w:lang w:val="zh-TW"/>
        </w:rPr>
        <w:t>股权风险溢价是在评估基准日无直接可观察市场报价时的一种预期，能够通过参考历史数据观测已实现的历史风险溢价，当这种风险溢价有偏差时，应进行适当调整。</w:t>
      </w:r>
    </w:p>
    <w:p>
      <w:pPr>
        <w:spacing w:line="360" w:lineRule="auto"/>
        <w:ind w:firstLine="636" w:firstLineChars="200"/>
        <w:rPr>
          <w:rFonts w:ascii="Times New Roman" w:hAnsi="Times New Roman"/>
          <w:spacing w:val="-1"/>
          <w:sz w:val="32"/>
          <w:szCs w:val="32"/>
          <w:lang w:val="zh-TW"/>
        </w:rPr>
      </w:pPr>
      <w:r>
        <w:rPr>
          <w:rFonts w:ascii="Times New Roman" w:hAnsi="Times New Roman"/>
          <w:spacing w:val="-1"/>
          <w:sz w:val="32"/>
          <w:szCs w:val="32"/>
          <w:lang w:val="zh-TW"/>
        </w:rPr>
        <w:t>第十</w:t>
      </w:r>
      <w:r>
        <w:rPr>
          <w:rFonts w:hint="eastAsia" w:ascii="Times New Roman" w:hAnsi="Times New Roman"/>
          <w:spacing w:val="-1"/>
          <w:sz w:val="32"/>
          <w:szCs w:val="32"/>
          <w:lang w:val="zh-TW"/>
        </w:rPr>
        <w:t>九</w:t>
      </w:r>
      <w:r>
        <w:rPr>
          <w:rFonts w:ascii="Times New Roman" w:hAnsi="Times New Roman"/>
          <w:spacing w:val="-1"/>
          <w:sz w:val="32"/>
          <w:szCs w:val="32"/>
          <w:lang w:val="zh-TW"/>
        </w:rPr>
        <w:t>条  特有风险系数反映评估对象在行业内竞争地位、公司特性等因素，说明评估对象与计算股权风险溢价的可比公司之间存在着差异。</w:t>
      </w:r>
    </w:p>
    <w:p>
      <w:pPr>
        <w:spacing w:line="360" w:lineRule="auto"/>
        <w:ind w:firstLine="636" w:firstLineChars="200"/>
        <w:rPr>
          <w:rFonts w:ascii="Times New Roman" w:hAnsi="Times New Roman"/>
          <w:spacing w:val="-1"/>
          <w:sz w:val="32"/>
          <w:szCs w:val="32"/>
          <w:lang w:val="zh-TW"/>
        </w:rPr>
      </w:pPr>
      <w:r>
        <w:rPr>
          <w:rFonts w:ascii="Times New Roman" w:hAnsi="Times New Roman"/>
          <w:spacing w:val="-1"/>
          <w:sz w:val="32"/>
          <w:szCs w:val="32"/>
          <w:lang w:val="zh-TW" w:eastAsia="zh-TW"/>
        </w:rPr>
        <w:t>第二</w:t>
      </w:r>
      <w:r>
        <w:rPr>
          <w:rFonts w:ascii="Times New Roman" w:hAnsi="Times New Roman"/>
          <w:spacing w:val="-1"/>
          <w:sz w:val="32"/>
          <w:szCs w:val="32"/>
          <w:lang w:val="zh-TW"/>
        </w:rPr>
        <w:t>十</w:t>
      </w:r>
      <w:r>
        <w:rPr>
          <w:rFonts w:ascii="Times New Roman" w:hAnsi="Times New Roman"/>
          <w:spacing w:val="-1"/>
          <w:sz w:val="32"/>
          <w:szCs w:val="32"/>
          <w:lang w:val="zh-TW" w:eastAsia="zh-TW"/>
        </w:rPr>
        <w:t>条  在企业</w:t>
      </w:r>
      <w:r>
        <w:rPr>
          <w:rFonts w:hint="eastAsia" w:ascii="Times New Roman" w:hAnsi="Times New Roman"/>
          <w:spacing w:val="-1"/>
          <w:sz w:val="32"/>
          <w:szCs w:val="32"/>
          <w:lang w:val="zh-TW"/>
        </w:rPr>
        <w:t>自由</w:t>
      </w:r>
      <w:r>
        <w:rPr>
          <w:rFonts w:ascii="Times New Roman" w:hAnsi="Times New Roman"/>
          <w:spacing w:val="-1"/>
          <w:sz w:val="32"/>
          <w:szCs w:val="32"/>
          <w:lang w:val="zh-TW" w:eastAsia="zh-TW"/>
        </w:rPr>
        <w:t>现金流量折现模型中，折现率应采取</w:t>
      </w:r>
      <w:r>
        <w:rPr>
          <w:rFonts w:ascii="Times New Roman" w:hAnsi="Times New Roman"/>
          <w:spacing w:val="-1"/>
          <w:sz w:val="32"/>
          <w:szCs w:val="32"/>
          <w:lang w:val="zh-TW"/>
        </w:rPr>
        <w:t>加权平均资本成本</w:t>
      </w:r>
      <w:r>
        <w:rPr>
          <w:rFonts w:ascii="Times New Roman" w:hAnsi="Times New Roman"/>
          <w:spacing w:val="-1"/>
          <w:sz w:val="32"/>
          <w:szCs w:val="32"/>
          <w:lang w:val="zh-TW" w:eastAsia="zh-TW"/>
        </w:rPr>
        <w:t>模型</w:t>
      </w:r>
      <w:r>
        <w:rPr>
          <w:rFonts w:ascii="Times New Roman" w:hAnsi="Times New Roman"/>
          <w:spacing w:val="-1"/>
          <w:sz w:val="32"/>
          <w:szCs w:val="32"/>
          <w:lang w:val="zh-TW"/>
        </w:rPr>
        <w:t>（WACC）</w:t>
      </w:r>
      <w:r>
        <w:rPr>
          <w:rFonts w:ascii="Times New Roman" w:hAnsi="Times New Roman"/>
          <w:spacing w:val="-1"/>
          <w:sz w:val="32"/>
          <w:szCs w:val="32"/>
          <w:lang w:val="zh-TW" w:eastAsia="zh-TW"/>
        </w:rPr>
        <w:t>确定</w:t>
      </w:r>
      <w:r>
        <w:rPr>
          <w:rFonts w:hint="eastAsia" w:ascii="Times New Roman" w:hAnsi="Times New Roman"/>
          <w:spacing w:val="-1"/>
          <w:sz w:val="32"/>
          <w:szCs w:val="32"/>
          <w:lang w:val="zh-TW"/>
        </w:rPr>
        <w:t>。</w:t>
      </w:r>
      <w:r>
        <w:rPr>
          <w:rFonts w:ascii="Times New Roman" w:hAnsi="Times New Roman"/>
          <w:spacing w:val="-1"/>
          <w:sz w:val="32"/>
          <w:szCs w:val="32"/>
          <w:lang w:val="zh-TW" w:eastAsia="zh-TW"/>
        </w:rPr>
        <w:t>其中</w:t>
      </w:r>
      <w:r>
        <w:rPr>
          <w:rFonts w:hint="eastAsia" w:ascii="Times New Roman" w:hAnsi="Times New Roman"/>
          <w:spacing w:val="-1"/>
          <w:sz w:val="32"/>
          <w:szCs w:val="32"/>
          <w:lang w:val="zh-TW"/>
        </w:rPr>
        <w:t>：</w:t>
      </w:r>
    </w:p>
    <w:p>
      <w:pPr>
        <w:spacing w:line="360" w:lineRule="auto"/>
        <w:ind w:firstLine="636" w:firstLineChars="200"/>
        <w:rPr>
          <w:rFonts w:ascii="Times New Roman" w:hAnsi="Times New Roman"/>
          <w:spacing w:val="-1"/>
          <w:sz w:val="32"/>
          <w:szCs w:val="32"/>
          <w:lang w:val="zh-TW"/>
        </w:rPr>
      </w:pPr>
      <w:r>
        <w:rPr>
          <w:rFonts w:ascii="Times New Roman" w:hAnsi="Times New Roman"/>
          <w:spacing w:val="-1"/>
          <w:sz w:val="32"/>
          <w:szCs w:val="32"/>
          <w:lang w:val="zh-TW" w:eastAsia="zh-TW"/>
        </w:rPr>
        <w:t>企业的资本结构宜根据预测期的资本结构动态确定</w:t>
      </w:r>
      <w:r>
        <w:rPr>
          <w:rFonts w:hint="eastAsia" w:ascii="Times New Roman" w:hAnsi="Times New Roman"/>
          <w:spacing w:val="-1"/>
          <w:sz w:val="32"/>
          <w:szCs w:val="32"/>
          <w:lang w:val="zh-TW"/>
        </w:rPr>
        <w:t>；</w:t>
      </w:r>
      <w:r>
        <w:rPr>
          <w:rFonts w:ascii="Times New Roman" w:hAnsi="Times New Roman"/>
          <w:spacing w:val="-1"/>
          <w:sz w:val="32"/>
          <w:szCs w:val="32"/>
          <w:lang w:val="zh-TW"/>
        </w:rPr>
        <w:t>债</w:t>
      </w:r>
      <w:r>
        <w:rPr>
          <w:rFonts w:hint="eastAsia" w:ascii="Times New Roman" w:hAnsi="Times New Roman"/>
          <w:spacing w:val="-1"/>
          <w:sz w:val="32"/>
          <w:szCs w:val="32"/>
          <w:lang w:val="zh-TW"/>
        </w:rPr>
        <w:t>务</w:t>
      </w:r>
      <w:r>
        <w:rPr>
          <w:rFonts w:ascii="Times New Roman" w:hAnsi="Times New Roman"/>
          <w:spacing w:val="-1"/>
          <w:sz w:val="32"/>
          <w:szCs w:val="32"/>
          <w:lang w:val="zh-TW"/>
        </w:rPr>
        <w:t>资本与权益资本的比例应以债</w:t>
      </w:r>
      <w:r>
        <w:rPr>
          <w:rFonts w:hint="eastAsia" w:ascii="Times New Roman" w:hAnsi="Times New Roman"/>
          <w:spacing w:val="-1"/>
          <w:sz w:val="32"/>
          <w:szCs w:val="32"/>
          <w:lang w:val="zh-TW"/>
        </w:rPr>
        <w:t>务</w:t>
      </w:r>
      <w:r>
        <w:rPr>
          <w:rFonts w:ascii="Times New Roman" w:hAnsi="Times New Roman"/>
          <w:spacing w:val="-1"/>
          <w:sz w:val="32"/>
          <w:szCs w:val="32"/>
          <w:lang w:val="zh-TW"/>
        </w:rPr>
        <w:t>资本和权益资本的市场价值为基础。</w:t>
      </w:r>
    </w:p>
    <w:p>
      <w:pPr>
        <w:spacing w:line="360" w:lineRule="auto"/>
        <w:ind w:firstLine="636" w:firstLineChars="200"/>
        <w:rPr>
          <w:rFonts w:ascii="Times New Roman" w:hAnsi="Times New Roman"/>
          <w:spacing w:val="-1"/>
          <w:sz w:val="32"/>
          <w:szCs w:val="32"/>
          <w:lang w:val="zh-TW"/>
        </w:rPr>
      </w:pPr>
      <w:r>
        <w:rPr>
          <w:rFonts w:ascii="Times New Roman" w:hAnsi="Times New Roman"/>
          <w:spacing w:val="-1"/>
          <w:sz w:val="32"/>
          <w:szCs w:val="32"/>
          <w:lang w:val="zh-TW"/>
        </w:rPr>
        <w:t>第二十</w:t>
      </w:r>
      <w:r>
        <w:rPr>
          <w:rFonts w:hint="eastAsia" w:ascii="Times New Roman" w:hAnsi="Times New Roman"/>
          <w:spacing w:val="-1"/>
          <w:sz w:val="32"/>
          <w:szCs w:val="32"/>
          <w:lang w:val="zh-TW"/>
        </w:rPr>
        <w:t>一</w:t>
      </w:r>
      <w:r>
        <w:rPr>
          <w:rFonts w:ascii="Times New Roman" w:hAnsi="Times New Roman"/>
          <w:spacing w:val="-1"/>
          <w:sz w:val="32"/>
          <w:szCs w:val="32"/>
          <w:lang w:val="zh-TW"/>
        </w:rPr>
        <w:t>条 采用加权平均资本成本</w:t>
      </w:r>
      <w:r>
        <w:rPr>
          <w:rFonts w:ascii="Times New Roman" w:hAnsi="Times New Roman"/>
          <w:spacing w:val="-1"/>
          <w:sz w:val="32"/>
          <w:szCs w:val="32"/>
          <w:lang w:val="zh-TW" w:eastAsia="zh-TW"/>
        </w:rPr>
        <w:t>模型</w:t>
      </w:r>
      <w:r>
        <w:rPr>
          <w:rFonts w:ascii="Times New Roman" w:hAnsi="Times New Roman"/>
          <w:spacing w:val="-1"/>
          <w:sz w:val="32"/>
          <w:szCs w:val="32"/>
          <w:lang w:val="zh-TW"/>
        </w:rPr>
        <w:t>（WACC）确定的折现率在数值上通常应小于采取资本资产定价模型（CAPM）确定的折现率。</w:t>
      </w:r>
    </w:p>
    <w:p>
      <w:pPr>
        <w:spacing w:line="360" w:lineRule="auto"/>
        <w:ind w:firstLine="638" w:firstLineChars="200"/>
        <w:outlineLvl w:val="0"/>
        <w:rPr>
          <w:rFonts w:ascii="Times New Roman" w:hAnsi="Times New Roman"/>
          <w:b/>
          <w:spacing w:val="-1"/>
          <w:sz w:val="32"/>
          <w:szCs w:val="32"/>
          <w:lang w:val="zh-TW" w:eastAsia="zh-TW"/>
        </w:rPr>
      </w:pPr>
      <w:r>
        <w:rPr>
          <w:rFonts w:hint="eastAsia" w:ascii="Times New Roman" w:hAnsi="Times New Roman"/>
          <w:b/>
          <w:spacing w:val="-1"/>
          <w:sz w:val="32"/>
          <w:szCs w:val="32"/>
          <w:lang w:val="zh-TW"/>
        </w:rPr>
        <w:t>五</w:t>
      </w:r>
      <w:r>
        <w:rPr>
          <w:rFonts w:ascii="Times New Roman" w:hAnsi="Times New Roman"/>
          <w:b/>
          <w:spacing w:val="-1"/>
          <w:sz w:val="32"/>
          <w:szCs w:val="32"/>
          <w:lang w:val="zh-TW" w:eastAsia="zh-TW"/>
        </w:rPr>
        <w:t>、评估报告的注意事项</w:t>
      </w:r>
    </w:p>
    <w:p>
      <w:pPr>
        <w:spacing w:line="360" w:lineRule="auto"/>
        <w:ind w:firstLine="636" w:firstLineChars="200"/>
        <w:rPr>
          <w:rFonts w:ascii="Times New Roman" w:hAnsi="Times New Roman"/>
          <w:spacing w:val="-1"/>
          <w:sz w:val="32"/>
          <w:szCs w:val="32"/>
          <w:lang w:val="zh-TW"/>
        </w:rPr>
      </w:pPr>
      <w:r>
        <w:rPr>
          <w:rFonts w:ascii="Times New Roman" w:hAnsi="Times New Roman"/>
          <w:spacing w:val="-1"/>
          <w:sz w:val="32"/>
          <w:szCs w:val="32"/>
          <w:lang w:val="zh-TW" w:eastAsia="zh-TW"/>
        </w:rPr>
        <w:t>第二十</w:t>
      </w:r>
      <w:r>
        <w:rPr>
          <w:rFonts w:hint="eastAsia" w:ascii="Times New Roman" w:hAnsi="Times New Roman"/>
          <w:spacing w:val="-1"/>
          <w:sz w:val="32"/>
          <w:szCs w:val="32"/>
          <w:lang w:val="zh-TW"/>
        </w:rPr>
        <w:t>二</w:t>
      </w:r>
      <w:r>
        <w:rPr>
          <w:rFonts w:ascii="Times New Roman" w:hAnsi="Times New Roman"/>
          <w:spacing w:val="-1"/>
          <w:sz w:val="32"/>
          <w:szCs w:val="32"/>
          <w:lang w:val="zh-TW" w:eastAsia="zh-TW"/>
        </w:rPr>
        <w:t>条  金融企业的收益法评估结论可以采取区间值或者确定值形式。</w:t>
      </w:r>
    </w:p>
    <w:p>
      <w:pPr>
        <w:spacing w:line="360" w:lineRule="auto"/>
        <w:ind w:firstLine="636" w:firstLineChars="200"/>
        <w:rPr>
          <w:rFonts w:ascii="Times New Roman" w:hAnsi="Times New Roman"/>
          <w:spacing w:val="-1"/>
          <w:sz w:val="32"/>
          <w:szCs w:val="32"/>
          <w:lang w:val="zh-TW"/>
        </w:rPr>
      </w:pPr>
      <w:r>
        <w:rPr>
          <w:rFonts w:hint="eastAsia" w:ascii="Times New Roman" w:hAnsi="Times New Roman"/>
          <w:spacing w:val="-1"/>
          <w:sz w:val="32"/>
          <w:szCs w:val="32"/>
          <w:lang w:val="zh-TW" w:eastAsia="zh-TW"/>
        </w:rPr>
        <w:t>在采取区间值形式的时候</w:t>
      </w:r>
      <w:r>
        <w:rPr>
          <w:rFonts w:hint="eastAsia" w:ascii="Times New Roman" w:hAnsi="Times New Roman"/>
          <w:spacing w:val="-1"/>
          <w:sz w:val="32"/>
          <w:szCs w:val="32"/>
          <w:lang w:val="zh-TW"/>
        </w:rPr>
        <w:t>，</w:t>
      </w:r>
      <w:r>
        <w:rPr>
          <w:rFonts w:hint="eastAsia" w:ascii="Times New Roman" w:hAnsi="Times New Roman"/>
          <w:spacing w:val="-1"/>
          <w:sz w:val="32"/>
          <w:szCs w:val="32"/>
          <w:lang w:val="zh-TW" w:eastAsia="zh-TW"/>
        </w:rPr>
        <w:t>区间值的确定应该是对影响评估结果的主要参数</w:t>
      </w:r>
      <w:r>
        <w:rPr>
          <w:rFonts w:hint="eastAsia" w:ascii="Times New Roman" w:hAnsi="Times New Roman"/>
          <w:spacing w:val="-1"/>
          <w:sz w:val="32"/>
          <w:szCs w:val="32"/>
          <w:lang w:val="zh-TW"/>
        </w:rPr>
        <w:t>，</w:t>
      </w:r>
      <w:r>
        <w:rPr>
          <w:rFonts w:hint="eastAsia" w:ascii="Times New Roman" w:hAnsi="Times New Roman"/>
          <w:spacing w:val="-1"/>
          <w:sz w:val="32"/>
          <w:szCs w:val="32"/>
          <w:lang w:val="zh-TW" w:eastAsia="zh-TW"/>
        </w:rPr>
        <w:t>如收入增长率</w:t>
      </w:r>
      <w:r>
        <w:rPr>
          <w:rFonts w:hint="eastAsia" w:ascii="Times New Roman" w:hAnsi="Times New Roman"/>
          <w:spacing w:val="-1"/>
          <w:sz w:val="32"/>
          <w:szCs w:val="32"/>
          <w:lang w:val="zh-TW"/>
        </w:rPr>
        <w:t>、</w:t>
      </w:r>
      <w:r>
        <w:rPr>
          <w:rFonts w:hint="eastAsia" w:ascii="Times New Roman" w:hAnsi="Times New Roman"/>
          <w:spacing w:val="-1"/>
          <w:sz w:val="32"/>
          <w:szCs w:val="32"/>
          <w:lang w:val="zh-TW" w:eastAsia="zh-TW"/>
        </w:rPr>
        <w:t>折现率</w:t>
      </w:r>
      <w:r>
        <w:rPr>
          <w:rFonts w:hint="eastAsia" w:ascii="Times New Roman" w:hAnsi="Times New Roman"/>
          <w:spacing w:val="-1"/>
          <w:sz w:val="32"/>
          <w:szCs w:val="32"/>
          <w:lang w:val="zh-TW"/>
        </w:rPr>
        <w:t>、永续增长率等参数做敏感性分析的基础上形成。敏感性分析可以根据评估对象特点按照参数每变化0.5个单位，如折现率增加或减少0.5%进行分析。</w:t>
      </w:r>
    </w:p>
    <w:p>
      <w:pPr>
        <w:spacing w:line="360" w:lineRule="auto"/>
        <w:ind w:firstLine="636" w:firstLineChars="200"/>
        <w:rPr>
          <w:rFonts w:ascii="Times New Roman" w:hAnsi="Times New Roman"/>
          <w:spacing w:val="-1"/>
          <w:sz w:val="32"/>
          <w:szCs w:val="32"/>
          <w:lang w:val="zh-TW" w:eastAsia="zh-TW"/>
        </w:rPr>
      </w:pPr>
      <w:r>
        <w:rPr>
          <w:rFonts w:ascii="Times New Roman" w:hAnsi="Times New Roman"/>
          <w:spacing w:val="-1"/>
          <w:sz w:val="32"/>
          <w:szCs w:val="32"/>
          <w:lang w:val="zh-TW" w:eastAsia="zh-TW"/>
        </w:rPr>
        <w:t>第二十</w:t>
      </w:r>
      <w:r>
        <w:rPr>
          <w:rFonts w:hint="eastAsia" w:ascii="Times New Roman" w:hAnsi="Times New Roman"/>
          <w:spacing w:val="-1"/>
          <w:sz w:val="32"/>
          <w:szCs w:val="32"/>
          <w:lang w:val="zh-TW"/>
        </w:rPr>
        <w:t>三</w:t>
      </w:r>
      <w:r>
        <w:rPr>
          <w:rFonts w:ascii="Times New Roman" w:hAnsi="Times New Roman"/>
          <w:spacing w:val="-1"/>
          <w:sz w:val="32"/>
          <w:szCs w:val="32"/>
          <w:lang w:val="zh-TW" w:eastAsia="zh-TW"/>
        </w:rPr>
        <w:t>条  在金融</w:t>
      </w:r>
      <w:r>
        <w:rPr>
          <w:rFonts w:hint="eastAsia" w:ascii="Times New Roman" w:hAnsi="Times New Roman"/>
          <w:spacing w:val="-1"/>
          <w:sz w:val="32"/>
          <w:szCs w:val="32"/>
          <w:lang w:val="zh-TW"/>
        </w:rPr>
        <w:t>企业</w:t>
      </w:r>
      <w:r>
        <w:rPr>
          <w:rFonts w:ascii="Times New Roman" w:hAnsi="Times New Roman"/>
          <w:spacing w:val="-1"/>
          <w:sz w:val="32"/>
          <w:szCs w:val="32"/>
          <w:lang w:val="zh-TW" w:eastAsia="zh-TW"/>
        </w:rPr>
        <w:t>收益法评估报告中应披露评估假设和预测基准，如：银行的不良率，资本充足率，存贷比等指标；保险公司的费用率，投资收益品种和投资收益率等指标。</w:t>
      </w:r>
    </w:p>
    <w:p>
      <w:pPr>
        <w:spacing w:line="360" w:lineRule="auto"/>
        <w:ind w:firstLine="636" w:firstLineChars="200"/>
        <w:rPr>
          <w:rFonts w:ascii="Times New Roman" w:hAnsi="Times New Roman"/>
          <w:spacing w:val="-1"/>
          <w:sz w:val="32"/>
          <w:szCs w:val="32"/>
          <w:lang w:val="zh-TW"/>
        </w:rPr>
      </w:pPr>
      <w:r>
        <w:rPr>
          <w:rFonts w:ascii="Times New Roman" w:hAnsi="Times New Roman"/>
          <w:spacing w:val="-1"/>
          <w:sz w:val="32"/>
          <w:szCs w:val="32"/>
          <w:lang w:val="zh-TW" w:eastAsia="zh-TW"/>
        </w:rPr>
        <w:t>第二十</w:t>
      </w:r>
      <w:r>
        <w:rPr>
          <w:rFonts w:hint="eastAsia" w:ascii="Times New Roman" w:hAnsi="Times New Roman"/>
          <w:spacing w:val="-1"/>
          <w:sz w:val="32"/>
          <w:szCs w:val="32"/>
          <w:lang w:val="zh-TW"/>
        </w:rPr>
        <w:t>四</w:t>
      </w:r>
      <w:r>
        <w:rPr>
          <w:rFonts w:ascii="Times New Roman" w:hAnsi="Times New Roman"/>
          <w:spacing w:val="-1"/>
          <w:sz w:val="32"/>
          <w:szCs w:val="32"/>
          <w:lang w:val="zh-TW" w:eastAsia="zh-TW"/>
        </w:rPr>
        <w:t>条  评估结论是否考虑了具有控制权溢价或者缺乏控制权折价，或快速变现对评估对象价值影响的，应当披露控制权溢价或缺乏控制权折价数值的测算过程及确定依据，并对相关差异进行分析说明</w:t>
      </w:r>
      <w:r>
        <w:rPr>
          <w:rFonts w:ascii="Times New Roman" w:hAnsi="Times New Roman"/>
          <w:spacing w:val="-1"/>
          <w:sz w:val="32"/>
          <w:szCs w:val="32"/>
          <w:lang w:val="zh-TW"/>
        </w:rPr>
        <w:t>。</w:t>
      </w:r>
    </w:p>
    <w:p>
      <w:pPr>
        <w:spacing w:line="360" w:lineRule="auto"/>
        <w:ind w:firstLine="636" w:firstLineChars="200"/>
        <w:rPr>
          <w:rFonts w:ascii="Times New Roman" w:hAnsi="Times New Roman"/>
          <w:spacing w:val="-1"/>
          <w:sz w:val="32"/>
          <w:szCs w:val="32"/>
          <w:lang w:val="zh-TW"/>
        </w:rPr>
      </w:pPr>
      <w:r>
        <w:rPr>
          <w:rFonts w:ascii="Times New Roman" w:hAnsi="Times New Roman"/>
          <w:spacing w:val="-1"/>
          <w:sz w:val="32"/>
          <w:szCs w:val="32"/>
          <w:lang w:val="zh-TW" w:eastAsia="zh-TW"/>
        </w:rPr>
        <w:t>第二十</w:t>
      </w:r>
      <w:r>
        <w:rPr>
          <w:rFonts w:hint="eastAsia" w:ascii="Times New Roman" w:hAnsi="Times New Roman"/>
          <w:spacing w:val="-1"/>
          <w:sz w:val="32"/>
          <w:szCs w:val="32"/>
          <w:lang w:val="zh-TW"/>
        </w:rPr>
        <w:t>五</w:t>
      </w:r>
      <w:r>
        <w:rPr>
          <w:rFonts w:ascii="Times New Roman" w:hAnsi="Times New Roman"/>
          <w:spacing w:val="-1"/>
          <w:sz w:val="32"/>
          <w:szCs w:val="32"/>
          <w:lang w:val="zh-TW" w:eastAsia="zh-TW"/>
        </w:rPr>
        <w:t>条  评估报告中应就未来收益预测是否考虑了通货膨胀的影响给予适当说明。</w:t>
      </w:r>
      <w:r>
        <w:rPr>
          <w:rFonts w:ascii="Times New Roman" w:hAnsi="Times New Roman"/>
          <w:spacing w:val="-1"/>
          <w:sz w:val="32"/>
          <w:szCs w:val="32"/>
          <w:lang w:val="zh-TW"/>
        </w:rPr>
        <w:t xml:space="preserve"> </w:t>
      </w:r>
    </w:p>
    <w:p>
      <w:pPr>
        <w:spacing w:line="360" w:lineRule="auto"/>
        <w:ind w:firstLine="636" w:firstLineChars="200"/>
        <w:rPr>
          <w:rFonts w:ascii="Times New Roman" w:hAnsi="Times New Roman"/>
          <w:b w:val="0"/>
          <w:bCs w:val="0"/>
          <w:spacing w:val="-1"/>
          <w:sz w:val="32"/>
          <w:szCs w:val="32"/>
          <w:lang w:val="zh-TW"/>
        </w:rPr>
      </w:pPr>
      <w:r>
        <w:rPr>
          <w:rFonts w:ascii="Times New Roman" w:hAnsi="Times New Roman"/>
          <w:b w:val="0"/>
          <w:bCs w:val="0"/>
          <w:spacing w:val="-1"/>
          <w:sz w:val="32"/>
          <w:szCs w:val="32"/>
          <w:lang w:val="zh-TW"/>
        </w:rPr>
        <w:t>附</w:t>
      </w:r>
      <w:r>
        <w:rPr>
          <w:rFonts w:hint="eastAsia" w:ascii="Times New Roman" w:hAnsi="Times New Roman"/>
          <w:b w:val="0"/>
          <w:bCs w:val="0"/>
          <w:spacing w:val="-1"/>
          <w:sz w:val="32"/>
          <w:szCs w:val="32"/>
          <w:lang w:val="zh-TW" w:eastAsia="zh-CN"/>
        </w:rPr>
        <w:t>：</w:t>
      </w:r>
      <w:r>
        <w:rPr>
          <w:rFonts w:ascii="Times New Roman" w:hAnsi="Times New Roman"/>
          <w:b w:val="0"/>
          <w:bCs w:val="0"/>
          <w:spacing w:val="-1"/>
          <w:sz w:val="32"/>
          <w:szCs w:val="32"/>
          <w:lang w:val="zh-TW"/>
        </w:rPr>
        <w:t>案例</w:t>
      </w:r>
    </w:p>
    <w:p>
      <w:pPr>
        <w:spacing w:line="360" w:lineRule="auto"/>
        <w:ind w:firstLine="636" w:firstLineChars="200"/>
        <w:rPr>
          <w:rFonts w:ascii="Times New Roman" w:hAnsi="Times New Roman"/>
          <w:spacing w:val="-1"/>
          <w:sz w:val="32"/>
          <w:szCs w:val="32"/>
          <w:lang w:val="zh-TW" w:eastAsia="zh-TW"/>
        </w:rPr>
      </w:pPr>
    </w:p>
    <w:p>
      <w:pPr>
        <w:widowControl/>
        <w:spacing w:line="240" w:lineRule="auto"/>
        <w:jc w:val="left"/>
        <w:rPr>
          <w:rFonts w:ascii="Times New Roman" w:hAnsi="Times New Roman"/>
          <w:spacing w:val="-1"/>
          <w:sz w:val="32"/>
          <w:szCs w:val="32"/>
          <w:lang w:val="zh-TW" w:eastAsia="zh-TW"/>
        </w:rPr>
      </w:pPr>
      <w:r>
        <w:rPr>
          <w:rFonts w:ascii="Times New Roman" w:hAnsi="Times New Roman"/>
          <w:spacing w:val="-1"/>
          <w:sz w:val="32"/>
          <w:szCs w:val="32"/>
          <w:lang w:val="zh-TW" w:eastAsia="zh-TW"/>
        </w:rPr>
        <w:br w:type="page"/>
      </w:r>
    </w:p>
    <w:p>
      <w:pPr>
        <w:spacing w:line="360" w:lineRule="auto"/>
        <w:ind w:firstLine="636" w:firstLineChars="200"/>
        <w:rPr>
          <w:rFonts w:ascii="Times New Roman" w:hAnsi="Times New Roman"/>
          <w:b/>
          <w:bCs/>
          <w:spacing w:val="-1"/>
          <w:sz w:val="32"/>
          <w:szCs w:val="32"/>
          <w:lang w:val="zh-TW"/>
        </w:rPr>
      </w:pPr>
      <w:r>
        <w:rPr>
          <w:rFonts w:ascii="Times New Roman" w:hAnsi="Times New Roman"/>
          <w:b/>
          <w:bCs/>
          <w:spacing w:val="-1"/>
          <w:sz w:val="32"/>
          <w:szCs w:val="32"/>
          <w:lang w:val="zh-TW"/>
        </w:rPr>
        <w:t>附</w:t>
      </w:r>
      <w:r>
        <w:rPr>
          <w:rFonts w:hint="eastAsia" w:ascii="Times New Roman" w:hAnsi="Times New Roman"/>
          <w:b/>
          <w:bCs/>
          <w:spacing w:val="-1"/>
          <w:sz w:val="32"/>
          <w:szCs w:val="32"/>
          <w:lang w:val="zh-TW" w:eastAsia="zh-CN"/>
        </w:rPr>
        <w:t>：</w:t>
      </w:r>
    </w:p>
    <w:p>
      <w:pPr>
        <w:spacing w:line="360" w:lineRule="auto"/>
        <w:ind w:firstLine="636" w:firstLineChars="200"/>
        <w:jc w:val="center"/>
        <w:rPr>
          <w:rFonts w:ascii="Times New Roman" w:hAnsi="Times New Roman"/>
          <w:spacing w:val="-1"/>
          <w:sz w:val="32"/>
          <w:szCs w:val="32"/>
          <w:lang w:val="zh-TW"/>
        </w:rPr>
      </w:pPr>
      <w:r>
        <w:rPr>
          <w:rFonts w:ascii="Times New Roman" w:hAnsi="Times New Roman"/>
          <w:spacing w:val="-1"/>
          <w:sz w:val="32"/>
          <w:szCs w:val="32"/>
          <w:lang w:val="zh-TW"/>
        </w:rPr>
        <w:t>案</w:t>
      </w:r>
      <w:r>
        <w:rPr>
          <w:rFonts w:hint="eastAsia" w:ascii="Times New Roman" w:hAnsi="Times New Roman"/>
          <w:spacing w:val="-1"/>
          <w:sz w:val="32"/>
          <w:szCs w:val="32"/>
          <w:lang w:val="en-US" w:eastAsia="zh-CN"/>
        </w:rPr>
        <w:t xml:space="preserve">    </w:t>
      </w:r>
      <w:r>
        <w:rPr>
          <w:rFonts w:ascii="Times New Roman" w:hAnsi="Times New Roman"/>
          <w:spacing w:val="-1"/>
          <w:sz w:val="32"/>
          <w:szCs w:val="32"/>
          <w:lang w:val="zh-TW"/>
        </w:rPr>
        <w:t>例</w:t>
      </w:r>
    </w:p>
    <w:p>
      <w:pPr>
        <w:spacing w:line="360" w:lineRule="auto"/>
        <w:ind w:firstLine="638" w:firstLineChars="200"/>
        <w:outlineLvl w:val="0"/>
        <w:rPr>
          <w:rFonts w:ascii="Times New Roman" w:hAnsi="Times New Roman"/>
          <w:b/>
          <w:spacing w:val="-1"/>
          <w:sz w:val="32"/>
          <w:szCs w:val="32"/>
          <w:lang w:val="zh-TW"/>
        </w:rPr>
      </w:pPr>
      <w:r>
        <w:rPr>
          <w:rFonts w:ascii="Times New Roman" w:hAnsi="Times New Roman"/>
          <w:b/>
          <w:spacing w:val="-1"/>
          <w:sz w:val="32"/>
          <w:szCs w:val="32"/>
          <w:lang w:val="zh-TW"/>
        </w:rPr>
        <w:t>案例</w:t>
      </w:r>
      <w:r>
        <w:rPr>
          <w:rFonts w:hint="eastAsia" w:ascii="Times New Roman" w:hAnsi="Times New Roman"/>
          <w:b/>
          <w:spacing w:val="-1"/>
          <w:sz w:val="32"/>
          <w:szCs w:val="32"/>
          <w:lang w:val="zh-TW"/>
        </w:rPr>
        <w:t>一</w:t>
      </w:r>
      <w:r>
        <w:rPr>
          <w:rFonts w:ascii="Times New Roman" w:hAnsi="Times New Roman"/>
          <w:b/>
          <w:spacing w:val="-1"/>
          <w:sz w:val="32"/>
          <w:szCs w:val="32"/>
          <w:lang w:val="zh-TW"/>
        </w:rPr>
        <w:t>：银行的资产负债表预测</w:t>
      </w:r>
    </w:p>
    <w:p>
      <w:pPr>
        <w:spacing w:line="360" w:lineRule="auto"/>
        <w:ind w:firstLine="584" w:firstLineChars="200"/>
        <w:rPr>
          <w:rFonts w:ascii="Times New Roman" w:hAnsi="Times New Roman"/>
          <w:sz w:val="28"/>
        </w:rPr>
      </w:pPr>
      <w:r>
        <w:rPr>
          <w:rFonts w:ascii="Times New Roman" w:hAnsi="Times New Roman"/>
          <w:sz w:val="28"/>
        </w:rPr>
        <w:t>从银行企业的盈利模式可以看出，存款是银行企业的利润来源，因此采用收益法评估时，首先对银行存款进行预测，进而根据存贷比率、存款准备金率对资产进行预测，然后根据各项生息资产和付息负债的收益率或付息率对损益表进行预测，最后对权益表和现金流表进行预测。</w:t>
      </w:r>
    </w:p>
    <w:p>
      <w:pPr>
        <w:spacing w:line="360" w:lineRule="auto"/>
        <w:ind w:firstLine="584" w:firstLineChars="200"/>
        <w:rPr>
          <w:rFonts w:ascii="Times New Roman" w:hAnsi="Times New Roman"/>
          <w:sz w:val="28"/>
        </w:rPr>
      </w:pPr>
      <w:r>
        <w:rPr>
          <w:rFonts w:ascii="Times New Roman" w:hAnsi="Times New Roman"/>
          <w:sz w:val="28"/>
        </w:rPr>
        <w:t>以xx银行为例对其资产负债表进行预测。</w:t>
      </w:r>
    </w:p>
    <w:p>
      <w:pPr>
        <w:spacing w:line="360" w:lineRule="auto"/>
        <w:ind w:firstLine="584" w:firstLineChars="200"/>
        <w:rPr>
          <w:rFonts w:ascii="Times New Roman" w:hAnsi="Times New Roman"/>
          <w:sz w:val="28"/>
        </w:rPr>
      </w:pPr>
      <w:r>
        <w:rPr>
          <w:rFonts w:ascii="Times New Roman" w:hAnsi="Times New Roman"/>
          <w:sz w:val="28"/>
        </w:rPr>
        <w:t>1</w:t>
      </w:r>
      <w:r>
        <w:rPr>
          <w:rFonts w:hint="eastAsia" w:ascii="Times New Roman" w:hAnsi="Times New Roman"/>
          <w:sz w:val="28"/>
        </w:rPr>
        <w:t>．</w:t>
      </w:r>
      <w:r>
        <w:rPr>
          <w:rFonts w:ascii="Times New Roman" w:hAnsi="Times New Roman"/>
          <w:sz w:val="28"/>
        </w:rPr>
        <w:t>从存款入手</w:t>
      </w:r>
    </w:p>
    <w:p>
      <w:pPr>
        <w:spacing w:line="360" w:lineRule="auto"/>
        <w:ind w:firstLine="584" w:firstLineChars="200"/>
        <w:rPr>
          <w:rFonts w:ascii="Times New Roman" w:hAnsi="Times New Roman"/>
          <w:sz w:val="28"/>
        </w:rPr>
      </w:pPr>
      <w:r>
        <w:rPr>
          <w:rFonts w:ascii="Times New Roman" w:hAnsi="Times New Roman"/>
          <w:sz w:val="28"/>
        </w:rPr>
        <w:t>存款是银行利润的来源，包括吸收公众存款和同业及其他金融机构存放款项。</w:t>
      </w:r>
    </w:p>
    <w:p>
      <w:pPr>
        <w:spacing w:line="360" w:lineRule="auto"/>
        <w:ind w:firstLine="584" w:firstLineChars="200"/>
        <w:rPr>
          <w:rFonts w:ascii="Times New Roman" w:hAnsi="Times New Roman"/>
          <w:sz w:val="28"/>
        </w:rPr>
      </w:pPr>
      <w:r>
        <w:rPr>
          <w:rFonts w:ascii="Times New Roman" w:hAnsi="Times New Roman"/>
          <w:sz w:val="28"/>
        </w:rPr>
        <w:t>（1）吸收公众存款预测</w:t>
      </w:r>
    </w:p>
    <w:p>
      <w:pPr>
        <w:spacing w:line="360" w:lineRule="auto"/>
        <w:ind w:firstLine="584" w:firstLineChars="200"/>
        <w:rPr>
          <w:rFonts w:ascii="Times New Roman" w:hAnsi="Times New Roman"/>
          <w:sz w:val="28"/>
          <w:szCs w:val="28"/>
        </w:rPr>
      </w:pPr>
      <w:r>
        <w:rPr>
          <w:rFonts w:ascii="Times New Roman" w:hAnsi="Times New Roman"/>
          <w:kern w:val="0"/>
          <w:sz w:val="28"/>
          <w:szCs w:val="28"/>
        </w:rPr>
        <w:t>xx银行20x3年存款平均余额为人民币149,795,300.00万元，较20x2年平均余额增加人民币21,467,800.00万元，增幅16.73%。</w:t>
      </w:r>
      <w:r>
        <w:rPr>
          <w:rFonts w:ascii="Times New Roman" w:hAnsi="Times New Roman"/>
          <w:sz w:val="28"/>
          <w:szCs w:val="28"/>
        </w:rPr>
        <w:t>根据国民经济发展趋势、国内银行业存款发展趋势、银行存款吸收计划、银行企业的市场份额等预测xx银行企业存款未来的规模。</w:t>
      </w:r>
    </w:p>
    <w:p>
      <w:pPr>
        <w:spacing w:line="360" w:lineRule="auto"/>
        <w:jc w:val="center"/>
        <w:rPr>
          <w:rFonts w:ascii="Times New Roman" w:hAnsi="Times New Roman"/>
          <w:kern w:val="0"/>
          <w:sz w:val="28"/>
          <w:szCs w:val="28"/>
        </w:rPr>
      </w:pPr>
      <w:r>
        <w:rPr>
          <w:rFonts w:ascii="Times New Roman" w:hAnsi="Times New Roman" w:eastAsia="黑体"/>
          <w:kern w:val="0"/>
          <w:sz w:val="24"/>
        </w:rPr>
        <w:t>吸收存款规模预测表</w:t>
      </w:r>
    </w:p>
    <w:p>
      <w:pPr>
        <w:spacing w:line="360" w:lineRule="auto"/>
        <w:ind w:firstLine="384" w:firstLineChars="200"/>
        <w:jc w:val="right"/>
        <w:rPr>
          <w:rFonts w:ascii="Times New Roman" w:hAnsi="Times New Roman"/>
          <w:sz w:val="18"/>
          <w:szCs w:val="18"/>
        </w:rPr>
      </w:pPr>
      <w:r>
        <w:rPr>
          <w:rFonts w:ascii="Times New Roman" w:hAnsi="Times New Roman"/>
          <w:sz w:val="18"/>
          <w:szCs w:val="18"/>
        </w:rPr>
        <w:t>金额单位：人民币万元</w:t>
      </w:r>
    </w:p>
    <w:tbl>
      <w:tblPr>
        <w:tblStyle w:val="27"/>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15"/>
        <w:gridCol w:w="1382"/>
        <w:gridCol w:w="1382"/>
        <w:gridCol w:w="1382"/>
        <w:gridCol w:w="1382"/>
        <w:gridCol w:w="13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615" w:type="dxa"/>
            <w:tcBorders>
              <w:top w:val="single" w:color="auto" w:sz="8" w:space="0"/>
              <w:left w:val="single" w:color="auto" w:sz="8" w:space="0"/>
              <w:bottom w:val="single" w:color="auto" w:sz="4" w:space="0"/>
              <w:right w:val="single" w:color="auto" w:sz="4" w:space="0"/>
            </w:tcBorders>
            <w:vAlign w:val="center"/>
          </w:tcPr>
          <w:p>
            <w:pPr>
              <w:widowControl/>
              <w:spacing w:line="240" w:lineRule="auto"/>
              <w:jc w:val="center"/>
              <w:rPr>
                <w:rFonts w:ascii="Times New Roman" w:hAnsi="Times New Roman" w:eastAsia="宋体"/>
                <w:b/>
                <w:bCs/>
                <w:spacing w:val="0"/>
                <w:kern w:val="0"/>
                <w:sz w:val="18"/>
                <w:szCs w:val="18"/>
              </w:rPr>
            </w:pPr>
            <w:r>
              <w:rPr>
                <w:rFonts w:ascii="Times New Roman" w:hAnsi="Times New Roman" w:eastAsia="宋体"/>
                <w:b/>
                <w:bCs/>
                <w:spacing w:val="0"/>
                <w:kern w:val="0"/>
                <w:sz w:val="18"/>
                <w:szCs w:val="18"/>
              </w:rPr>
              <w:t>项目</w:t>
            </w:r>
          </w:p>
        </w:tc>
        <w:tc>
          <w:tcPr>
            <w:tcW w:w="1382"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Times New Roman" w:hAnsi="Times New Roman" w:eastAsia="宋体"/>
                <w:b/>
                <w:spacing w:val="0"/>
                <w:kern w:val="0"/>
                <w:sz w:val="18"/>
                <w:szCs w:val="18"/>
              </w:rPr>
            </w:pPr>
            <w:r>
              <w:rPr>
                <w:rFonts w:ascii="Times New Roman" w:hAnsi="Times New Roman" w:eastAsia="宋体"/>
                <w:b/>
                <w:spacing w:val="0"/>
                <w:kern w:val="0"/>
                <w:sz w:val="18"/>
                <w:szCs w:val="18"/>
              </w:rPr>
              <w:t>20x4年</w:t>
            </w:r>
          </w:p>
        </w:tc>
        <w:tc>
          <w:tcPr>
            <w:tcW w:w="1382"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Times New Roman" w:hAnsi="Times New Roman" w:eastAsia="宋体"/>
                <w:b/>
                <w:spacing w:val="0"/>
                <w:kern w:val="0"/>
                <w:sz w:val="18"/>
                <w:szCs w:val="18"/>
              </w:rPr>
            </w:pPr>
            <w:r>
              <w:rPr>
                <w:rFonts w:ascii="Times New Roman" w:hAnsi="Times New Roman" w:eastAsia="宋体"/>
                <w:b/>
                <w:spacing w:val="0"/>
                <w:kern w:val="0"/>
                <w:sz w:val="18"/>
                <w:szCs w:val="18"/>
              </w:rPr>
              <w:t>20x5年</w:t>
            </w:r>
          </w:p>
        </w:tc>
        <w:tc>
          <w:tcPr>
            <w:tcW w:w="1382"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Times New Roman" w:hAnsi="Times New Roman" w:eastAsia="宋体"/>
                <w:b/>
                <w:spacing w:val="0"/>
                <w:kern w:val="0"/>
                <w:sz w:val="18"/>
                <w:szCs w:val="18"/>
              </w:rPr>
            </w:pPr>
            <w:r>
              <w:rPr>
                <w:rFonts w:ascii="Times New Roman" w:hAnsi="Times New Roman" w:eastAsia="宋体"/>
                <w:b/>
                <w:spacing w:val="0"/>
                <w:kern w:val="0"/>
                <w:sz w:val="18"/>
                <w:szCs w:val="18"/>
              </w:rPr>
              <w:t>20x6年</w:t>
            </w:r>
          </w:p>
        </w:tc>
        <w:tc>
          <w:tcPr>
            <w:tcW w:w="1382"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Times New Roman" w:hAnsi="Times New Roman" w:eastAsia="宋体"/>
                <w:b/>
                <w:spacing w:val="0"/>
                <w:kern w:val="0"/>
                <w:sz w:val="18"/>
                <w:szCs w:val="18"/>
              </w:rPr>
            </w:pPr>
            <w:r>
              <w:rPr>
                <w:rFonts w:ascii="Times New Roman" w:hAnsi="Times New Roman" w:eastAsia="宋体"/>
                <w:b/>
                <w:spacing w:val="0"/>
                <w:kern w:val="0"/>
                <w:sz w:val="18"/>
                <w:szCs w:val="18"/>
              </w:rPr>
              <w:t>20x7年</w:t>
            </w:r>
          </w:p>
        </w:tc>
        <w:tc>
          <w:tcPr>
            <w:tcW w:w="1379"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Times New Roman" w:hAnsi="Times New Roman" w:eastAsia="宋体"/>
                <w:b/>
                <w:spacing w:val="0"/>
                <w:kern w:val="0"/>
                <w:sz w:val="18"/>
                <w:szCs w:val="18"/>
              </w:rPr>
            </w:pPr>
            <w:r>
              <w:rPr>
                <w:rFonts w:ascii="Times New Roman" w:hAnsi="Times New Roman" w:eastAsia="宋体"/>
                <w:b/>
                <w:spacing w:val="0"/>
                <w:kern w:val="0"/>
                <w:sz w:val="18"/>
                <w:szCs w:val="18"/>
              </w:rPr>
              <w:t>20x8年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615" w:type="dxa"/>
            <w:tcBorders>
              <w:top w:val="single" w:color="auto" w:sz="4" w:space="0"/>
              <w:left w:val="single" w:color="auto" w:sz="8" w:space="0"/>
              <w:bottom w:val="single" w:color="auto" w:sz="4" w:space="0"/>
              <w:right w:val="single" w:color="auto" w:sz="4" w:space="0"/>
            </w:tcBorders>
            <w:vAlign w:val="center"/>
          </w:tcPr>
          <w:p>
            <w:pPr>
              <w:widowControl/>
              <w:spacing w:line="240" w:lineRule="auto"/>
              <w:jc w:val="center"/>
              <w:rPr>
                <w:rFonts w:ascii="Times New Roman" w:hAnsi="Times New Roman" w:eastAsia="宋体"/>
                <w:bCs/>
                <w:spacing w:val="0"/>
                <w:kern w:val="0"/>
                <w:sz w:val="18"/>
                <w:szCs w:val="18"/>
              </w:rPr>
            </w:pPr>
            <w:r>
              <w:rPr>
                <w:rFonts w:ascii="Times New Roman" w:hAnsi="Times New Roman" w:eastAsia="宋体"/>
                <w:bCs/>
                <w:spacing w:val="0"/>
                <w:kern w:val="0"/>
                <w:sz w:val="18"/>
                <w:szCs w:val="18"/>
              </w:rPr>
              <w:t>存款期末规模</w:t>
            </w:r>
          </w:p>
        </w:tc>
        <w:tc>
          <w:tcPr>
            <w:tcW w:w="1382"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176,480,100.00</w:t>
            </w:r>
          </w:p>
        </w:tc>
        <w:tc>
          <w:tcPr>
            <w:tcW w:w="1382"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194,128,100.00</w:t>
            </w:r>
          </w:p>
        </w:tc>
        <w:tc>
          <w:tcPr>
            <w:tcW w:w="1382"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213,540,900.00</w:t>
            </w:r>
          </w:p>
        </w:tc>
        <w:tc>
          <w:tcPr>
            <w:tcW w:w="1382"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232,759,600.00</w:t>
            </w:r>
          </w:p>
        </w:tc>
        <w:tc>
          <w:tcPr>
            <w:tcW w:w="1379"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251,380,400.00</w:t>
            </w:r>
          </w:p>
        </w:tc>
      </w:tr>
    </w:tbl>
    <w:p>
      <w:pPr>
        <w:spacing w:line="360" w:lineRule="auto"/>
        <w:ind w:firstLine="584" w:firstLineChars="200"/>
        <w:rPr>
          <w:rFonts w:ascii="Times New Roman" w:hAnsi="Times New Roman"/>
          <w:kern w:val="0"/>
          <w:sz w:val="28"/>
          <w:szCs w:val="28"/>
        </w:rPr>
      </w:pPr>
    </w:p>
    <w:p>
      <w:pPr>
        <w:spacing w:line="360" w:lineRule="auto"/>
        <w:ind w:firstLine="584" w:firstLineChars="200"/>
        <w:rPr>
          <w:rFonts w:ascii="Times New Roman" w:hAnsi="Times New Roman"/>
          <w:kern w:val="0"/>
          <w:sz w:val="28"/>
          <w:szCs w:val="28"/>
        </w:rPr>
      </w:pPr>
      <w:r>
        <w:rPr>
          <w:rFonts w:ascii="Times New Roman" w:hAnsi="Times New Roman"/>
          <w:kern w:val="0"/>
          <w:sz w:val="28"/>
          <w:szCs w:val="28"/>
        </w:rPr>
        <w:t>（2）同业及其他金融机构存放款项预测</w:t>
      </w:r>
    </w:p>
    <w:p>
      <w:pPr>
        <w:spacing w:line="360" w:lineRule="auto"/>
        <w:ind w:firstLine="584" w:firstLineChars="200"/>
        <w:rPr>
          <w:rFonts w:ascii="Times New Roman" w:hAnsi="Times New Roman"/>
          <w:sz w:val="28"/>
        </w:rPr>
      </w:pPr>
      <w:r>
        <w:rPr>
          <w:rFonts w:ascii="Times New Roman" w:hAnsi="Times New Roman"/>
          <w:sz w:val="28"/>
        </w:rPr>
        <w:t>根据银行企业历史和基准日的向其他银行和政府借款、同业存放款项水平，及银行企业未来计划预测其向其他银行和政府借款、同业存放款项水平。</w:t>
      </w:r>
      <w:r>
        <w:rPr>
          <w:rFonts w:ascii="Times New Roman" w:hAnsi="Times New Roman"/>
          <w:kern w:val="0"/>
          <w:sz w:val="28"/>
          <w:szCs w:val="28"/>
        </w:rPr>
        <w:t>根据xx银行过去三年历史数据分析，同业存入及拆入款日均余额约占付息负债总额的30%。出于维持流动性需要，预计以后年度同业存入及拆入款占付息负债的比例仍将维持在此水平上。</w:t>
      </w:r>
    </w:p>
    <w:p>
      <w:pPr>
        <w:spacing w:line="360" w:lineRule="auto"/>
        <w:jc w:val="center"/>
        <w:rPr>
          <w:rFonts w:ascii="Times New Roman" w:hAnsi="Times New Roman"/>
          <w:kern w:val="0"/>
          <w:sz w:val="28"/>
          <w:szCs w:val="28"/>
        </w:rPr>
      </w:pPr>
      <w:r>
        <w:rPr>
          <w:rFonts w:ascii="Times New Roman" w:hAnsi="Times New Roman" w:eastAsia="黑体"/>
          <w:kern w:val="0"/>
          <w:sz w:val="24"/>
        </w:rPr>
        <w:t>同业拆借规模预测表</w:t>
      </w:r>
    </w:p>
    <w:p>
      <w:pPr>
        <w:spacing w:line="360" w:lineRule="auto"/>
        <w:ind w:firstLine="384" w:firstLineChars="200"/>
        <w:jc w:val="right"/>
        <w:rPr>
          <w:rFonts w:ascii="Times New Roman" w:hAnsi="Times New Roman"/>
          <w:sz w:val="18"/>
          <w:szCs w:val="18"/>
        </w:rPr>
      </w:pPr>
      <w:r>
        <w:rPr>
          <w:rFonts w:ascii="Times New Roman" w:hAnsi="Times New Roman"/>
          <w:sz w:val="18"/>
          <w:szCs w:val="18"/>
        </w:rPr>
        <w:t>金额单位：人民币万元</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6"/>
        <w:gridCol w:w="1339"/>
        <w:gridCol w:w="1340"/>
        <w:gridCol w:w="1340"/>
        <w:gridCol w:w="1340"/>
        <w:gridCol w:w="1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726" w:type="dxa"/>
            <w:vAlign w:val="center"/>
          </w:tcPr>
          <w:p>
            <w:pPr>
              <w:widowControl/>
              <w:spacing w:line="240" w:lineRule="auto"/>
              <w:jc w:val="center"/>
              <w:rPr>
                <w:rFonts w:ascii="Times New Roman" w:hAnsi="Times New Roman"/>
                <w:b/>
                <w:kern w:val="0"/>
                <w:sz w:val="18"/>
                <w:szCs w:val="18"/>
              </w:rPr>
            </w:pPr>
            <w:r>
              <w:rPr>
                <w:rFonts w:ascii="Times New Roman" w:hAnsi="Times New Roman"/>
                <w:b/>
                <w:kern w:val="0"/>
                <w:sz w:val="18"/>
                <w:szCs w:val="18"/>
              </w:rPr>
              <w:t>项目</w:t>
            </w:r>
          </w:p>
        </w:tc>
        <w:tc>
          <w:tcPr>
            <w:tcW w:w="1339" w:type="dxa"/>
            <w:vAlign w:val="center"/>
          </w:tcPr>
          <w:p>
            <w:pPr>
              <w:spacing w:line="240" w:lineRule="auto"/>
              <w:jc w:val="center"/>
              <w:rPr>
                <w:rFonts w:ascii="Times New Roman" w:hAnsi="Times New Roman"/>
                <w:b/>
                <w:bCs/>
                <w:sz w:val="18"/>
                <w:szCs w:val="18"/>
              </w:rPr>
            </w:pPr>
            <w:r>
              <w:rPr>
                <w:rFonts w:ascii="Times New Roman" w:hAnsi="Times New Roman"/>
                <w:b/>
                <w:bCs/>
                <w:sz w:val="18"/>
                <w:szCs w:val="18"/>
              </w:rPr>
              <w:t>20x4年</w:t>
            </w:r>
          </w:p>
        </w:tc>
        <w:tc>
          <w:tcPr>
            <w:tcW w:w="1340" w:type="dxa"/>
            <w:vAlign w:val="center"/>
          </w:tcPr>
          <w:p>
            <w:pPr>
              <w:spacing w:line="240" w:lineRule="auto"/>
              <w:jc w:val="center"/>
              <w:rPr>
                <w:rFonts w:ascii="Times New Roman" w:hAnsi="Times New Roman"/>
                <w:b/>
                <w:bCs/>
                <w:sz w:val="18"/>
                <w:szCs w:val="18"/>
              </w:rPr>
            </w:pPr>
            <w:r>
              <w:rPr>
                <w:rFonts w:ascii="Times New Roman" w:hAnsi="Times New Roman"/>
                <w:b/>
                <w:bCs/>
                <w:sz w:val="18"/>
                <w:szCs w:val="18"/>
              </w:rPr>
              <w:t>20x5年</w:t>
            </w:r>
          </w:p>
        </w:tc>
        <w:tc>
          <w:tcPr>
            <w:tcW w:w="1340" w:type="dxa"/>
            <w:vAlign w:val="center"/>
          </w:tcPr>
          <w:p>
            <w:pPr>
              <w:spacing w:line="240" w:lineRule="auto"/>
              <w:jc w:val="center"/>
              <w:rPr>
                <w:rFonts w:ascii="Times New Roman" w:hAnsi="Times New Roman"/>
                <w:b/>
                <w:bCs/>
                <w:sz w:val="18"/>
                <w:szCs w:val="18"/>
              </w:rPr>
            </w:pPr>
            <w:r>
              <w:rPr>
                <w:rFonts w:ascii="Times New Roman" w:hAnsi="Times New Roman"/>
                <w:b/>
                <w:bCs/>
                <w:sz w:val="18"/>
                <w:szCs w:val="18"/>
              </w:rPr>
              <w:t>20x6年</w:t>
            </w:r>
          </w:p>
        </w:tc>
        <w:tc>
          <w:tcPr>
            <w:tcW w:w="1340" w:type="dxa"/>
            <w:vAlign w:val="center"/>
          </w:tcPr>
          <w:p>
            <w:pPr>
              <w:spacing w:line="240" w:lineRule="auto"/>
              <w:jc w:val="center"/>
              <w:rPr>
                <w:rFonts w:ascii="Times New Roman" w:hAnsi="Times New Roman"/>
                <w:b/>
                <w:bCs/>
                <w:sz w:val="18"/>
                <w:szCs w:val="18"/>
              </w:rPr>
            </w:pPr>
            <w:r>
              <w:rPr>
                <w:rFonts w:ascii="Times New Roman" w:hAnsi="Times New Roman"/>
                <w:b/>
                <w:bCs/>
                <w:sz w:val="18"/>
                <w:szCs w:val="18"/>
              </w:rPr>
              <w:t>20x7年</w:t>
            </w:r>
          </w:p>
        </w:tc>
        <w:tc>
          <w:tcPr>
            <w:tcW w:w="1437" w:type="dxa"/>
            <w:vAlign w:val="center"/>
          </w:tcPr>
          <w:p>
            <w:pPr>
              <w:spacing w:line="240" w:lineRule="auto"/>
              <w:jc w:val="center"/>
              <w:rPr>
                <w:rFonts w:ascii="Times New Roman" w:hAnsi="Times New Roman"/>
                <w:b/>
                <w:bCs/>
                <w:sz w:val="18"/>
                <w:szCs w:val="18"/>
              </w:rPr>
            </w:pPr>
            <w:r>
              <w:rPr>
                <w:rFonts w:ascii="Times New Roman" w:hAnsi="Times New Roman"/>
                <w:b/>
                <w:bCs/>
                <w:sz w:val="18"/>
                <w:szCs w:val="18"/>
              </w:rPr>
              <w:t>20x8年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726" w:type="dxa"/>
            <w:vAlign w:val="center"/>
          </w:tcPr>
          <w:p>
            <w:pPr>
              <w:spacing w:line="240" w:lineRule="auto"/>
              <w:jc w:val="center"/>
              <w:rPr>
                <w:rFonts w:ascii="Times New Roman" w:hAnsi="Times New Roman"/>
                <w:sz w:val="18"/>
                <w:szCs w:val="18"/>
              </w:rPr>
            </w:pPr>
            <w:r>
              <w:rPr>
                <w:rFonts w:ascii="Times New Roman" w:hAnsi="Times New Roman"/>
                <w:sz w:val="18"/>
                <w:szCs w:val="18"/>
              </w:rPr>
              <w:t>同业拆借</w:t>
            </w:r>
          </w:p>
          <w:p>
            <w:pPr>
              <w:spacing w:line="240" w:lineRule="auto"/>
              <w:jc w:val="center"/>
              <w:rPr>
                <w:rFonts w:ascii="Times New Roman" w:hAnsi="Times New Roman"/>
                <w:sz w:val="18"/>
                <w:szCs w:val="18"/>
              </w:rPr>
            </w:pPr>
            <w:r>
              <w:rPr>
                <w:rFonts w:ascii="Times New Roman" w:hAnsi="Times New Roman"/>
                <w:sz w:val="18"/>
                <w:szCs w:val="18"/>
              </w:rPr>
              <w:t>期末余额</w:t>
            </w:r>
          </w:p>
        </w:tc>
        <w:tc>
          <w:tcPr>
            <w:tcW w:w="1339" w:type="dxa"/>
            <w:vAlign w:val="center"/>
          </w:tcPr>
          <w:p>
            <w:pPr>
              <w:spacing w:line="240" w:lineRule="auto"/>
              <w:jc w:val="right"/>
              <w:rPr>
                <w:rFonts w:ascii="Times New Roman" w:hAnsi="Times New Roman" w:eastAsia="微软雅黑"/>
                <w:sz w:val="18"/>
                <w:szCs w:val="18"/>
              </w:rPr>
            </w:pPr>
            <w:r>
              <w:rPr>
                <w:rFonts w:ascii="Times New Roman" w:hAnsi="Times New Roman" w:eastAsia="微软雅黑"/>
                <w:sz w:val="18"/>
                <w:szCs w:val="18"/>
              </w:rPr>
              <w:t>59,515,696.67</w:t>
            </w:r>
          </w:p>
        </w:tc>
        <w:tc>
          <w:tcPr>
            <w:tcW w:w="1340" w:type="dxa"/>
            <w:vAlign w:val="center"/>
          </w:tcPr>
          <w:p>
            <w:pPr>
              <w:spacing w:line="240" w:lineRule="auto"/>
              <w:jc w:val="right"/>
              <w:rPr>
                <w:rFonts w:ascii="Times New Roman" w:hAnsi="Times New Roman" w:eastAsia="微软雅黑"/>
                <w:sz w:val="18"/>
                <w:szCs w:val="18"/>
              </w:rPr>
            </w:pPr>
            <w:r>
              <w:rPr>
                <w:rFonts w:ascii="Times New Roman" w:hAnsi="Times New Roman" w:eastAsia="微软雅黑"/>
                <w:sz w:val="18"/>
                <w:szCs w:val="18"/>
              </w:rPr>
              <w:t>65,467,307.61</w:t>
            </w:r>
          </w:p>
        </w:tc>
        <w:tc>
          <w:tcPr>
            <w:tcW w:w="1340" w:type="dxa"/>
            <w:vAlign w:val="center"/>
          </w:tcPr>
          <w:p>
            <w:pPr>
              <w:spacing w:line="240" w:lineRule="auto"/>
              <w:jc w:val="right"/>
              <w:rPr>
                <w:rFonts w:ascii="Times New Roman" w:hAnsi="Times New Roman" w:eastAsia="微软雅黑"/>
                <w:sz w:val="18"/>
                <w:szCs w:val="18"/>
              </w:rPr>
            </w:pPr>
            <w:r>
              <w:rPr>
                <w:rFonts w:ascii="Times New Roman" w:hAnsi="Times New Roman" w:eastAsia="微软雅黑"/>
                <w:sz w:val="18"/>
                <w:szCs w:val="18"/>
              </w:rPr>
              <w:t>72,014,054.89</w:t>
            </w:r>
          </w:p>
        </w:tc>
        <w:tc>
          <w:tcPr>
            <w:tcW w:w="1340" w:type="dxa"/>
            <w:vAlign w:val="center"/>
          </w:tcPr>
          <w:p>
            <w:pPr>
              <w:spacing w:line="240" w:lineRule="auto"/>
              <w:jc w:val="right"/>
              <w:rPr>
                <w:rFonts w:ascii="Times New Roman" w:hAnsi="Times New Roman" w:eastAsia="微软雅黑"/>
                <w:sz w:val="18"/>
                <w:szCs w:val="18"/>
              </w:rPr>
            </w:pPr>
            <w:r>
              <w:rPr>
                <w:rFonts w:ascii="Times New Roman" w:hAnsi="Times New Roman" w:eastAsia="微软雅黑"/>
                <w:sz w:val="18"/>
                <w:szCs w:val="18"/>
              </w:rPr>
              <w:t>78,495,336.34</w:t>
            </w:r>
          </w:p>
        </w:tc>
        <w:tc>
          <w:tcPr>
            <w:tcW w:w="1437" w:type="dxa"/>
            <w:vAlign w:val="center"/>
          </w:tcPr>
          <w:p>
            <w:pPr>
              <w:spacing w:line="240" w:lineRule="auto"/>
              <w:jc w:val="right"/>
              <w:rPr>
                <w:rFonts w:ascii="Times New Roman" w:hAnsi="Times New Roman" w:eastAsia="微软雅黑"/>
                <w:sz w:val="18"/>
                <w:szCs w:val="18"/>
              </w:rPr>
            </w:pPr>
            <w:r>
              <w:rPr>
                <w:rFonts w:ascii="Times New Roman" w:hAnsi="Times New Roman" w:eastAsia="微软雅黑"/>
                <w:sz w:val="18"/>
                <w:szCs w:val="18"/>
              </w:rPr>
              <w:t>84,774,936.83</w:t>
            </w:r>
          </w:p>
        </w:tc>
      </w:tr>
    </w:tbl>
    <w:p>
      <w:pPr>
        <w:spacing w:line="360" w:lineRule="auto"/>
        <w:ind w:firstLine="584" w:firstLineChars="200"/>
        <w:rPr>
          <w:rFonts w:ascii="Times New Roman" w:hAnsi="Times New Roman"/>
          <w:kern w:val="0"/>
          <w:sz w:val="28"/>
          <w:szCs w:val="28"/>
        </w:rPr>
      </w:pPr>
    </w:p>
    <w:p>
      <w:pPr>
        <w:spacing w:line="360" w:lineRule="auto"/>
        <w:ind w:firstLine="584" w:firstLineChars="200"/>
        <w:rPr>
          <w:rFonts w:ascii="Times New Roman" w:hAnsi="Times New Roman"/>
          <w:kern w:val="0"/>
          <w:sz w:val="28"/>
          <w:szCs w:val="28"/>
        </w:rPr>
      </w:pPr>
      <w:r>
        <w:rPr>
          <w:rFonts w:ascii="Times New Roman" w:hAnsi="Times New Roman"/>
          <w:kern w:val="0"/>
          <w:sz w:val="28"/>
          <w:szCs w:val="28"/>
        </w:rPr>
        <w:t>2</w:t>
      </w:r>
      <w:r>
        <w:rPr>
          <w:rFonts w:hint="eastAsia" w:ascii="Times New Roman" w:hAnsi="Times New Roman"/>
          <w:kern w:val="0"/>
          <w:sz w:val="28"/>
          <w:szCs w:val="28"/>
        </w:rPr>
        <w:t>．</w:t>
      </w:r>
      <w:r>
        <w:rPr>
          <w:rFonts w:ascii="Times New Roman" w:hAnsi="Times New Roman"/>
          <w:kern w:val="0"/>
          <w:sz w:val="28"/>
          <w:szCs w:val="28"/>
        </w:rPr>
        <w:t>贷款规模预测</w:t>
      </w:r>
    </w:p>
    <w:p>
      <w:pPr>
        <w:spacing w:line="360" w:lineRule="auto"/>
        <w:ind w:firstLine="584" w:firstLineChars="200"/>
        <w:rPr>
          <w:rFonts w:ascii="Times New Roman" w:hAnsi="Times New Roman"/>
          <w:kern w:val="0"/>
          <w:sz w:val="28"/>
          <w:szCs w:val="28"/>
        </w:rPr>
      </w:pPr>
      <w:r>
        <w:rPr>
          <w:rFonts w:ascii="Times New Roman" w:hAnsi="Times New Roman"/>
          <w:kern w:val="0"/>
          <w:sz w:val="28"/>
          <w:szCs w:val="28"/>
        </w:rPr>
        <w:t>xx银行作为一家全国性的商业银行，具有良好的公司治理结构、国际化的管理团队和市场化的经营管理机制，自成立以来业务经营始终坚持市场化原则，以实现股东价值和银行价值提升为最终目标，具备强劲的内生增长动力。客户存款快速增长，从20</w:t>
      </w:r>
      <w:r>
        <w:rPr>
          <w:rFonts w:hint="eastAsia" w:ascii="Times New Roman" w:hAnsi="Times New Roman"/>
          <w:kern w:val="0"/>
          <w:sz w:val="28"/>
          <w:szCs w:val="28"/>
        </w:rPr>
        <w:t>y</w:t>
      </w:r>
      <w:r>
        <w:rPr>
          <w:rFonts w:ascii="Times New Roman" w:hAnsi="Times New Roman"/>
          <w:kern w:val="0"/>
          <w:sz w:val="28"/>
          <w:szCs w:val="28"/>
        </w:rPr>
        <w:t>9年到20x3年复合增长率达到19.00%；贷款增速受到政策监管的影响，从20</w:t>
      </w:r>
      <w:r>
        <w:rPr>
          <w:rFonts w:hint="eastAsia" w:ascii="Times New Roman" w:hAnsi="Times New Roman"/>
          <w:kern w:val="0"/>
          <w:sz w:val="28"/>
          <w:szCs w:val="28"/>
        </w:rPr>
        <w:t>y</w:t>
      </w:r>
      <w:r>
        <w:rPr>
          <w:rFonts w:ascii="Times New Roman" w:hAnsi="Times New Roman"/>
          <w:kern w:val="0"/>
          <w:sz w:val="28"/>
          <w:szCs w:val="28"/>
        </w:rPr>
        <w:t>9年到20x3年复合增长率达到16.00%。</w:t>
      </w:r>
    </w:p>
    <w:p>
      <w:pPr>
        <w:spacing w:line="360" w:lineRule="auto"/>
        <w:ind w:firstLine="584" w:firstLineChars="200"/>
        <w:rPr>
          <w:rFonts w:ascii="Times New Roman" w:hAnsi="Times New Roman"/>
          <w:kern w:val="0"/>
          <w:sz w:val="28"/>
          <w:szCs w:val="28"/>
        </w:rPr>
      </w:pPr>
      <w:r>
        <w:rPr>
          <w:rFonts w:ascii="Times New Roman" w:hAnsi="Times New Roman"/>
          <w:kern w:val="0"/>
          <w:sz w:val="28"/>
          <w:szCs w:val="28"/>
        </w:rPr>
        <w:t>xx银行20</w:t>
      </w:r>
      <w:r>
        <w:rPr>
          <w:rFonts w:hint="eastAsia" w:ascii="Times New Roman" w:hAnsi="Times New Roman"/>
          <w:kern w:val="0"/>
          <w:sz w:val="28"/>
          <w:szCs w:val="28"/>
        </w:rPr>
        <w:t>y</w:t>
      </w:r>
      <w:r>
        <w:rPr>
          <w:rFonts w:ascii="Times New Roman" w:hAnsi="Times New Roman"/>
          <w:kern w:val="0"/>
          <w:sz w:val="28"/>
          <w:szCs w:val="28"/>
        </w:rPr>
        <w:t>9-20x3年的存贷比如下表所示，历年存贷比除了在20x2年有短暂的下降以外基本维持在70%以上的水平，在评估基准日存贷比为71.16%。</w:t>
      </w:r>
    </w:p>
    <w:tbl>
      <w:tblPr>
        <w:tblStyle w:val="27"/>
        <w:tblW w:w="852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56"/>
        <w:gridCol w:w="1410"/>
        <w:gridCol w:w="1514"/>
        <w:gridCol w:w="1514"/>
        <w:gridCol w:w="1514"/>
        <w:gridCol w:w="15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056" w:type="dxa"/>
            <w:tcBorders>
              <w:top w:val="single" w:color="auto" w:sz="8" w:space="0"/>
              <w:left w:val="single" w:color="auto" w:sz="8" w:space="0"/>
              <w:bottom w:val="single" w:color="auto" w:sz="4" w:space="0"/>
              <w:right w:val="single" w:color="auto" w:sz="4" w:space="0"/>
            </w:tcBorders>
            <w:vAlign w:val="center"/>
          </w:tcPr>
          <w:p>
            <w:pPr>
              <w:widowControl/>
              <w:spacing w:line="240" w:lineRule="auto"/>
              <w:jc w:val="center"/>
              <w:rPr>
                <w:rFonts w:ascii="Times New Roman" w:hAnsi="Times New Roman" w:eastAsia="宋体"/>
                <w:b/>
                <w:bCs/>
                <w:spacing w:val="0"/>
                <w:kern w:val="0"/>
                <w:sz w:val="18"/>
                <w:szCs w:val="18"/>
              </w:rPr>
            </w:pPr>
            <w:r>
              <w:rPr>
                <w:rFonts w:ascii="Times New Roman" w:hAnsi="Times New Roman" w:eastAsia="宋体"/>
                <w:b/>
                <w:bCs/>
                <w:spacing w:val="0"/>
                <w:kern w:val="0"/>
                <w:sz w:val="18"/>
                <w:szCs w:val="18"/>
              </w:rPr>
              <w:t>项目</w:t>
            </w:r>
          </w:p>
        </w:tc>
        <w:tc>
          <w:tcPr>
            <w:tcW w:w="1410"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Times New Roman" w:hAnsi="Times New Roman" w:eastAsia="宋体"/>
                <w:b/>
                <w:spacing w:val="0"/>
                <w:kern w:val="0"/>
                <w:sz w:val="20"/>
                <w:szCs w:val="20"/>
              </w:rPr>
            </w:pPr>
            <w:r>
              <w:rPr>
                <w:rFonts w:ascii="Times New Roman" w:hAnsi="Times New Roman" w:eastAsia="宋体"/>
                <w:b/>
                <w:spacing w:val="0"/>
                <w:kern w:val="0"/>
                <w:sz w:val="20"/>
                <w:szCs w:val="20"/>
              </w:rPr>
              <w:t>20</w:t>
            </w:r>
            <w:r>
              <w:rPr>
                <w:rFonts w:hint="eastAsia" w:ascii="Times New Roman" w:hAnsi="Times New Roman" w:eastAsia="宋体"/>
                <w:b/>
                <w:spacing w:val="0"/>
                <w:kern w:val="0"/>
                <w:sz w:val="20"/>
                <w:szCs w:val="20"/>
                <w:lang w:val="en-US" w:eastAsia="zh-CN"/>
              </w:rPr>
              <w:t>y</w:t>
            </w:r>
            <w:r>
              <w:rPr>
                <w:rFonts w:ascii="Times New Roman" w:hAnsi="Times New Roman" w:eastAsia="宋体"/>
                <w:b/>
                <w:spacing w:val="0"/>
                <w:kern w:val="0"/>
                <w:sz w:val="20"/>
                <w:szCs w:val="20"/>
              </w:rPr>
              <w:t>9年</w:t>
            </w:r>
          </w:p>
        </w:tc>
        <w:tc>
          <w:tcPr>
            <w:tcW w:w="1514"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Times New Roman" w:hAnsi="Times New Roman" w:eastAsia="宋体"/>
                <w:b/>
                <w:spacing w:val="0"/>
                <w:kern w:val="0"/>
                <w:sz w:val="20"/>
                <w:szCs w:val="20"/>
              </w:rPr>
            </w:pPr>
            <w:r>
              <w:rPr>
                <w:rFonts w:ascii="Times New Roman" w:hAnsi="Times New Roman" w:eastAsia="宋体"/>
                <w:b/>
                <w:spacing w:val="0"/>
                <w:kern w:val="0"/>
                <w:sz w:val="20"/>
                <w:szCs w:val="20"/>
              </w:rPr>
              <w:t>20x0年</w:t>
            </w:r>
          </w:p>
        </w:tc>
        <w:tc>
          <w:tcPr>
            <w:tcW w:w="1514"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Times New Roman" w:hAnsi="Times New Roman" w:eastAsia="宋体"/>
                <w:b/>
                <w:spacing w:val="0"/>
                <w:kern w:val="0"/>
                <w:sz w:val="20"/>
                <w:szCs w:val="20"/>
              </w:rPr>
            </w:pPr>
            <w:r>
              <w:rPr>
                <w:rFonts w:ascii="Times New Roman" w:hAnsi="Times New Roman" w:eastAsia="宋体"/>
                <w:b/>
                <w:spacing w:val="0"/>
                <w:kern w:val="0"/>
                <w:sz w:val="20"/>
                <w:szCs w:val="20"/>
              </w:rPr>
              <w:t>20x1年</w:t>
            </w:r>
          </w:p>
        </w:tc>
        <w:tc>
          <w:tcPr>
            <w:tcW w:w="1514"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Times New Roman" w:hAnsi="Times New Roman" w:eastAsia="宋体"/>
                <w:b/>
                <w:spacing w:val="0"/>
                <w:kern w:val="0"/>
                <w:sz w:val="20"/>
                <w:szCs w:val="20"/>
              </w:rPr>
            </w:pPr>
            <w:r>
              <w:rPr>
                <w:rFonts w:ascii="Times New Roman" w:hAnsi="Times New Roman" w:eastAsia="宋体"/>
                <w:b/>
                <w:spacing w:val="0"/>
                <w:kern w:val="0"/>
                <w:sz w:val="20"/>
                <w:szCs w:val="20"/>
              </w:rPr>
              <w:t>20x2年</w:t>
            </w:r>
          </w:p>
        </w:tc>
        <w:tc>
          <w:tcPr>
            <w:tcW w:w="1514"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Times New Roman" w:hAnsi="Times New Roman" w:eastAsia="宋体"/>
                <w:b/>
                <w:spacing w:val="0"/>
                <w:kern w:val="0"/>
                <w:sz w:val="20"/>
                <w:szCs w:val="20"/>
              </w:rPr>
            </w:pPr>
            <w:r>
              <w:rPr>
                <w:rFonts w:ascii="Times New Roman" w:hAnsi="Times New Roman" w:eastAsia="宋体"/>
                <w:b/>
                <w:spacing w:val="0"/>
                <w:kern w:val="0"/>
                <w:sz w:val="20"/>
                <w:szCs w:val="20"/>
              </w:rPr>
              <w:t>20x3年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056" w:type="dxa"/>
            <w:tcBorders>
              <w:top w:val="nil"/>
              <w:left w:val="single" w:color="auto" w:sz="8" w:space="0"/>
              <w:bottom w:val="single" w:color="auto" w:sz="4" w:space="0"/>
              <w:right w:val="single" w:color="auto" w:sz="4" w:space="0"/>
            </w:tcBorders>
            <w:vAlign w:val="center"/>
          </w:tcPr>
          <w:p>
            <w:pPr>
              <w:widowControl/>
              <w:spacing w:line="240" w:lineRule="auto"/>
              <w:jc w:val="center"/>
              <w:rPr>
                <w:rFonts w:ascii="Times New Roman" w:hAnsi="Times New Roman" w:eastAsia="宋体"/>
                <w:bCs/>
                <w:spacing w:val="0"/>
                <w:kern w:val="0"/>
                <w:sz w:val="18"/>
                <w:szCs w:val="18"/>
              </w:rPr>
            </w:pPr>
            <w:r>
              <w:rPr>
                <w:rFonts w:ascii="Times New Roman" w:hAnsi="Times New Roman" w:eastAsia="宋体"/>
                <w:bCs/>
                <w:spacing w:val="0"/>
                <w:kern w:val="0"/>
                <w:sz w:val="18"/>
                <w:szCs w:val="18"/>
              </w:rPr>
              <w:t>贷款余额</w:t>
            </w:r>
          </w:p>
        </w:tc>
        <w:tc>
          <w:tcPr>
            <w:tcW w:w="1410"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63,211,533.40</w:t>
            </w:r>
          </w:p>
        </w:tc>
        <w:tc>
          <w:tcPr>
            <w:tcW w:w="1514"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76,046,315.60</w:t>
            </w:r>
          </w:p>
        </w:tc>
        <w:tc>
          <w:tcPr>
            <w:tcW w:w="1514"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86,866,553.60</w:t>
            </w:r>
          </w:p>
        </w:tc>
        <w:tc>
          <w:tcPr>
            <w:tcW w:w="1514"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99,717,784.51</w:t>
            </w:r>
          </w:p>
        </w:tc>
        <w:tc>
          <w:tcPr>
            <w:tcW w:w="1514"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114,162,237.88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056" w:type="dxa"/>
            <w:tcBorders>
              <w:top w:val="nil"/>
              <w:left w:val="single" w:color="auto" w:sz="8" w:space="0"/>
              <w:bottom w:val="single" w:color="auto" w:sz="4" w:space="0"/>
              <w:right w:val="single" w:color="auto" w:sz="4" w:space="0"/>
            </w:tcBorders>
            <w:vAlign w:val="center"/>
          </w:tcPr>
          <w:p>
            <w:pPr>
              <w:widowControl/>
              <w:spacing w:line="240" w:lineRule="auto"/>
              <w:jc w:val="center"/>
              <w:rPr>
                <w:rFonts w:ascii="Times New Roman" w:hAnsi="Times New Roman" w:eastAsia="宋体"/>
                <w:bCs/>
                <w:spacing w:val="0"/>
                <w:kern w:val="0"/>
                <w:sz w:val="18"/>
                <w:szCs w:val="18"/>
              </w:rPr>
            </w:pPr>
            <w:r>
              <w:rPr>
                <w:rFonts w:ascii="Times New Roman" w:hAnsi="Times New Roman" w:eastAsia="宋体"/>
                <w:bCs/>
                <w:spacing w:val="0"/>
                <w:kern w:val="0"/>
                <w:sz w:val="18"/>
                <w:szCs w:val="18"/>
              </w:rPr>
              <w:t>存款余额</w:t>
            </w:r>
          </w:p>
        </w:tc>
        <w:tc>
          <w:tcPr>
            <w:tcW w:w="1410"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79,961,130.30</w:t>
            </w:r>
          </w:p>
        </w:tc>
        <w:tc>
          <w:tcPr>
            <w:tcW w:w="1514"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102,952,747.80</w:t>
            </w:r>
          </w:p>
        </w:tc>
        <w:tc>
          <w:tcPr>
            <w:tcW w:w="1514"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117,844,503.70</w:t>
            </w:r>
          </w:p>
        </w:tc>
        <w:tc>
          <w:tcPr>
            <w:tcW w:w="1514"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142,653,327.66</w:t>
            </w:r>
          </w:p>
        </w:tc>
        <w:tc>
          <w:tcPr>
            <w:tcW w:w="1514"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160,436,487.58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056" w:type="dxa"/>
            <w:tcBorders>
              <w:top w:val="nil"/>
              <w:left w:val="single" w:color="auto" w:sz="8" w:space="0"/>
              <w:bottom w:val="single" w:color="auto" w:sz="4" w:space="0"/>
              <w:right w:val="single" w:color="auto" w:sz="4" w:space="0"/>
            </w:tcBorders>
            <w:vAlign w:val="center"/>
          </w:tcPr>
          <w:p>
            <w:pPr>
              <w:widowControl/>
              <w:spacing w:line="240" w:lineRule="auto"/>
              <w:jc w:val="center"/>
              <w:rPr>
                <w:rFonts w:ascii="Times New Roman" w:hAnsi="Times New Roman" w:eastAsia="宋体"/>
                <w:bCs/>
                <w:spacing w:val="0"/>
                <w:kern w:val="0"/>
                <w:sz w:val="18"/>
                <w:szCs w:val="18"/>
              </w:rPr>
            </w:pPr>
            <w:r>
              <w:rPr>
                <w:rFonts w:ascii="Times New Roman" w:hAnsi="Times New Roman" w:eastAsia="宋体"/>
                <w:bCs/>
                <w:spacing w:val="0"/>
                <w:kern w:val="0"/>
                <w:sz w:val="18"/>
                <w:szCs w:val="18"/>
              </w:rPr>
              <w:t>存贷比</w:t>
            </w:r>
          </w:p>
        </w:tc>
        <w:tc>
          <w:tcPr>
            <w:tcW w:w="1410"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79.05%</w:t>
            </w:r>
          </w:p>
        </w:tc>
        <w:tc>
          <w:tcPr>
            <w:tcW w:w="1514"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73.87%</w:t>
            </w:r>
          </w:p>
        </w:tc>
        <w:tc>
          <w:tcPr>
            <w:tcW w:w="1514"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73.71%</w:t>
            </w:r>
          </w:p>
        </w:tc>
        <w:tc>
          <w:tcPr>
            <w:tcW w:w="1514"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69.90%</w:t>
            </w:r>
          </w:p>
        </w:tc>
        <w:tc>
          <w:tcPr>
            <w:tcW w:w="1514"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71.16%</w:t>
            </w:r>
          </w:p>
        </w:tc>
      </w:tr>
    </w:tbl>
    <w:p>
      <w:pPr>
        <w:spacing w:line="360" w:lineRule="auto"/>
        <w:ind w:firstLine="584" w:firstLineChars="200"/>
        <w:rPr>
          <w:rFonts w:ascii="Times New Roman" w:hAnsi="Times New Roman"/>
          <w:kern w:val="0"/>
          <w:sz w:val="28"/>
          <w:szCs w:val="28"/>
        </w:rPr>
      </w:pPr>
    </w:p>
    <w:p>
      <w:pPr>
        <w:spacing w:line="360" w:lineRule="auto"/>
        <w:ind w:firstLine="584" w:firstLineChars="200"/>
        <w:rPr>
          <w:rFonts w:ascii="Times New Roman" w:hAnsi="Times New Roman"/>
          <w:kern w:val="0"/>
          <w:sz w:val="28"/>
          <w:szCs w:val="28"/>
        </w:rPr>
      </w:pPr>
      <w:r>
        <w:rPr>
          <w:rFonts w:ascii="Times New Roman" w:hAnsi="Times New Roman"/>
          <w:kern w:val="0"/>
          <w:sz w:val="28"/>
          <w:szCs w:val="28"/>
        </w:rPr>
        <w:t>本次评估认为xx银行在预测期的存贷比可保持在评估基准日水平，即预测期的存贷比为71.16%，并依此为依据对预测期的贷款余额进行预测。</w:t>
      </w:r>
    </w:p>
    <w:tbl>
      <w:tblPr>
        <w:tblStyle w:val="27"/>
        <w:tblW w:w="806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36"/>
        <w:gridCol w:w="1426"/>
        <w:gridCol w:w="1426"/>
        <w:gridCol w:w="1426"/>
        <w:gridCol w:w="1426"/>
        <w:gridCol w:w="14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936" w:type="dxa"/>
            <w:tcBorders>
              <w:top w:val="single" w:color="auto" w:sz="8" w:space="0"/>
              <w:left w:val="single" w:color="auto" w:sz="8" w:space="0"/>
              <w:bottom w:val="single" w:color="auto" w:sz="4" w:space="0"/>
              <w:right w:val="single" w:color="auto" w:sz="4" w:space="0"/>
            </w:tcBorders>
            <w:vAlign w:val="center"/>
          </w:tcPr>
          <w:p>
            <w:pPr>
              <w:widowControl/>
              <w:spacing w:line="240" w:lineRule="auto"/>
              <w:jc w:val="center"/>
              <w:rPr>
                <w:rFonts w:ascii="Times New Roman" w:hAnsi="Times New Roman" w:eastAsia="宋体"/>
                <w:b/>
                <w:bCs/>
                <w:spacing w:val="0"/>
                <w:kern w:val="0"/>
                <w:sz w:val="18"/>
                <w:szCs w:val="18"/>
              </w:rPr>
            </w:pPr>
            <w:r>
              <w:rPr>
                <w:rFonts w:ascii="Times New Roman" w:hAnsi="Times New Roman" w:eastAsia="宋体"/>
                <w:b/>
                <w:bCs/>
                <w:spacing w:val="0"/>
                <w:kern w:val="0"/>
                <w:sz w:val="18"/>
                <w:szCs w:val="18"/>
              </w:rPr>
              <w:t>项目</w:t>
            </w:r>
          </w:p>
        </w:tc>
        <w:tc>
          <w:tcPr>
            <w:tcW w:w="1426" w:type="dxa"/>
            <w:tcBorders>
              <w:top w:val="single" w:color="auto" w:sz="4" w:space="0"/>
              <w:left w:val="nil"/>
              <w:bottom w:val="single" w:color="auto" w:sz="4" w:space="0"/>
              <w:right w:val="single" w:color="auto" w:sz="4" w:space="0"/>
            </w:tcBorders>
            <w:vAlign w:val="center"/>
          </w:tcPr>
          <w:p>
            <w:pPr>
              <w:spacing w:line="240" w:lineRule="auto"/>
              <w:jc w:val="center"/>
              <w:rPr>
                <w:rFonts w:ascii="Times New Roman" w:hAnsi="Times New Roman"/>
                <w:b/>
                <w:sz w:val="18"/>
                <w:szCs w:val="18"/>
              </w:rPr>
            </w:pPr>
            <w:r>
              <w:rPr>
                <w:rFonts w:ascii="Times New Roman" w:hAnsi="Times New Roman"/>
                <w:b/>
                <w:sz w:val="18"/>
                <w:szCs w:val="18"/>
              </w:rPr>
              <w:t>20x4年</w:t>
            </w:r>
          </w:p>
        </w:tc>
        <w:tc>
          <w:tcPr>
            <w:tcW w:w="1426" w:type="dxa"/>
            <w:tcBorders>
              <w:top w:val="single" w:color="auto" w:sz="4" w:space="0"/>
              <w:left w:val="nil"/>
              <w:bottom w:val="single" w:color="auto" w:sz="4" w:space="0"/>
              <w:right w:val="single" w:color="auto" w:sz="4" w:space="0"/>
            </w:tcBorders>
            <w:vAlign w:val="center"/>
          </w:tcPr>
          <w:p>
            <w:pPr>
              <w:spacing w:line="240" w:lineRule="auto"/>
              <w:jc w:val="center"/>
              <w:rPr>
                <w:rFonts w:ascii="Times New Roman" w:hAnsi="Times New Roman"/>
                <w:b/>
                <w:sz w:val="18"/>
                <w:szCs w:val="18"/>
              </w:rPr>
            </w:pPr>
            <w:r>
              <w:rPr>
                <w:rFonts w:ascii="Times New Roman" w:hAnsi="Times New Roman"/>
                <w:b/>
                <w:sz w:val="18"/>
                <w:szCs w:val="18"/>
              </w:rPr>
              <w:t>20x5年</w:t>
            </w:r>
          </w:p>
        </w:tc>
        <w:tc>
          <w:tcPr>
            <w:tcW w:w="1426" w:type="dxa"/>
            <w:tcBorders>
              <w:top w:val="single" w:color="auto" w:sz="4" w:space="0"/>
              <w:left w:val="nil"/>
              <w:bottom w:val="single" w:color="auto" w:sz="4" w:space="0"/>
              <w:right w:val="single" w:color="auto" w:sz="4" w:space="0"/>
            </w:tcBorders>
            <w:vAlign w:val="center"/>
          </w:tcPr>
          <w:p>
            <w:pPr>
              <w:spacing w:line="240" w:lineRule="auto"/>
              <w:jc w:val="center"/>
              <w:rPr>
                <w:rFonts w:ascii="Times New Roman" w:hAnsi="Times New Roman"/>
                <w:b/>
                <w:sz w:val="18"/>
                <w:szCs w:val="18"/>
              </w:rPr>
            </w:pPr>
            <w:r>
              <w:rPr>
                <w:rFonts w:ascii="Times New Roman" w:hAnsi="Times New Roman"/>
                <w:b/>
                <w:sz w:val="18"/>
                <w:szCs w:val="18"/>
              </w:rPr>
              <w:t>20x6年</w:t>
            </w:r>
          </w:p>
        </w:tc>
        <w:tc>
          <w:tcPr>
            <w:tcW w:w="1426" w:type="dxa"/>
            <w:tcBorders>
              <w:top w:val="single" w:color="auto" w:sz="4" w:space="0"/>
              <w:left w:val="nil"/>
              <w:bottom w:val="single" w:color="auto" w:sz="4" w:space="0"/>
              <w:right w:val="single" w:color="auto" w:sz="4" w:space="0"/>
            </w:tcBorders>
            <w:vAlign w:val="center"/>
          </w:tcPr>
          <w:p>
            <w:pPr>
              <w:spacing w:line="240" w:lineRule="auto"/>
              <w:jc w:val="center"/>
              <w:rPr>
                <w:rFonts w:ascii="Times New Roman" w:hAnsi="Times New Roman"/>
                <w:b/>
                <w:sz w:val="18"/>
                <w:szCs w:val="18"/>
              </w:rPr>
            </w:pPr>
            <w:r>
              <w:rPr>
                <w:rFonts w:ascii="Times New Roman" w:hAnsi="Times New Roman"/>
                <w:b/>
                <w:sz w:val="18"/>
                <w:szCs w:val="18"/>
              </w:rPr>
              <w:t>20x7年</w:t>
            </w:r>
          </w:p>
        </w:tc>
        <w:tc>
          <w:tcPr>
            <w:tcW w:w="1426" w:type="dxa"/>
            <w:tcBorders>
              <w:top w:val="single" w:color="auto" w:sz="4" w:space="0"/>
              <w:left w:val="nil"/>
              <w:bottom w:val="single" w:color="auto" w:sz="4" w:space="0"/>
              <w:right w:val="single" w:color="auto" w:sz="4" w:space="0"/>
            </w:tcBorders>
            <w:vAlign w:val="center"/>
          </w:tcPr>
          <w:p>
            <w:pPr>
              <w:spacing w:line="240" w:lineRule="auto"/>
              <w:jc w:val="center"/>
              <w:rPr>
                <w:rFonts w:ascii="Times New Roman" w:hAnsi="Times New Roman"/>
                <w:b/>
                <w:sz w:val="18"/>
                <w:szCs w:val="18"/>
              </w:rPr>
            </w:pPr>
            <w:r>
              <w:rPr>
                <w:rFonts w:ascii="Times New Roman" w:hAnsi="Times New Roman"/>
                <w:b/>
                <w:sz w:val="18"/>
                <w:szCs w:val="18"/>
              </w:rPr>
              <w:t>20x8年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936" w:type="dxa"/>
            <w:tcBorders>
              <w:top w:val="nil"/>
              <w:left w:val="single" w:color="auto" w:sz="8" w:space="0"/>
              <w:bottom w:val="single" w:color="auto" w:sz="4" w:space="0"/>
              <w:right w:val="single" w:color="auto" w:sz="4" w:space="0"/>
            </w:tcBorders>
            <w:vAlign w:val="center"/>
          </w:tcPr>
          <w:p>
            <w:pPr>
              <w:widowControl/>
              <w:spacing w:line="240" w:lineRule="auto"/>
              <w:jc w:val="left"/>
              <w:rPr>
                <w:rFonts w:ascii="Times New Roman" w:hAnsi="Times New Roman" w:eastAsia="宋体"/>
                <w:bCs/>
                <w:spacing w:val="0"/>
                <w:kern w:val="0"/>
                <w:sz w:val="18"/>
                <w:szCs w:val="18"/>
              </w:rPr>
            </w:pPr>
            <w:r>
              <w:rPr>
                <w:rFonts w:ascii="Times New Roman" w:hAnsi="Times New Roman" w:eastAsia="宋体"/>
                <w:bCs/>
                <w:spacing w:val="0"/>
                <w:kern w:val="0"/>
                <w:sz w:val="18"/>
                <w:szCs w:val="18"/>
              </w:rPr>
              <w:t>贷款余额</w:t>
            </w:r>
          </w:p>
        </w:tc>
        <w:tc>
          <w:tcPr>
            <w:tcW w:w="1426" w:type="dxa"/>
            <w:tcBorders>
              <w:top w:val="nil"/>
              <w:left w:val="nil"/>
              <w:bottom w:val="single" w:color="auto" w:sz="4" w:space="0"/>
              <w:right w:val="single" w:color="auto" w:sz="4" w:space="0"/>
            </w:tcBorders>
            <w:vAlign w:val="center"/>
          </w:tcPr>
          <w:p>
            <w:pPr>
              <w:spacing w:line="240" w:lineRule="auto"/>
              <w:jc w:val="right"/>
              <w:rPr>
                <w:rFonts w:ascii="Times New Roman" w:hAnsi="Times New Roman" w:eastAsia="微软雅黑"/>
                <w:sz w:val="18"/>
                <w:szCs w:val="18"/>
              </w:rPr>
            </w:pPr>
            <w:r>
              <w:rPr>
                <w:rFonts w:ascii="Times New Roman" w:hAnsi="Times New Roman" w:eastAsia="微软雅黑"/>
                <w:sz w:val="18"/>
                <w:szCs w:val="18"/>
              </w:rPr>
              <w:t>125,583,239.16</w:t>
            </w:r>
          </w:p>
        </w:tc>
        <w:tc>
          <w:tcPr>
            <w:tcW w:w="1426" w:type="dxa"/>
            <w:tcBorders>
              <w:top w:val="nil"/>
              <w:left w:val="nil"/>
              <w:bottom w:val="single" w:color="auto" w:sz="4" w:space="0"/>
              <w:right w:val="single" w:color="auto" w:sz="4" w:space="0"/>
            </w:tcBorders>
            <w:vAlign w:val="center"/>
          </w:tcPr>
          <w:p>
            <w:pPr>
              <w:spacing w:line="240" w:lineRule="auto"/>
              <w:jc w:val="right"/>
              <w:rPr>
                <w:rFonts w:ascii="Times New Roman" w:hAnsi="Times New Roman" w:eastAsia="微软雅黑"/>
                <w:sz w:val="18"/>
                <w:szCs w:val="18"/>
              </w:rPr>
            </w:pPr>
            <w:r>
              <w:rPr>
                <w:rFonts w:ascii="Times New Roman" w:hAnsi="Times New Roman" w:eastAsia="微软雅黑"/>
                <w:sz w:val="18"/>
                <w:szCs w:val="18"/>
              </w:rPr>
              <w:t>138,141,555.96</w:t>
            </w:r>
          </w:p>
        </w:tc>
        <w:tc>
          <w:tcPr>
            <w:tcW w:w="1426" w:type="dxa"/>
            <w:tcBorders>
              <w:top w:val="nil"/>
              <w:left w:val="nil"/>
              <w:bottom w:val="single" w:color="auto" w:sz="4" w:space="0"/>
              <w:right w:val="single" w:color="auto" w:sz="4" w:space="0"/>
            </w:tcBorders>
            <w:vAlign w:val="center"/>
          </w:tcPr>
          <w:p>
            <w:pPr>
              <w:spacing w:line="240" w:lineRule="auto"/>
              <w:jc w:val="right"/>
              <w:rPr>
                <w:rFonts w:ascii="Times New Roman" w:hAnsi="Times New Roman" w:eastAsia="微软雅黑"/>
                <w:sz w:val="18"/>
                <w:szCs w:val="18"/>
              </w:rPr>
            </w:pPr>
            <w:r>
              <w:rPr>
                <w:rFonts w:ascii="Times New Roman" w:hAnsi="Times New Roman" w:eastAsia="微软雅黑"/>
                <w:sz w:val="18"/>
                <w:szCs w:val="18"/>
              </w:rPr>
              <w:t>151,955,704.44</w:t>
            </w:r>
          </w:p>
        </w:tc>
        <w:tc>
          <w:tcPr>
            <w:tcW w:w="1426" w:type="dxa"/>
            <w:tcBorders>
              <w:top w:val="nil"/>
              <w:left w:val="nil"/>
              <w:bottom w:val="single" w:color="auto" w:sz="4" w:space="0"/>
              <w:right w:val="single" w:color="auto" w:sz="4" w:space="0"/>
            </w:tcBorders>
            <w:vAlign w:val="center"/>
          </w:tcPr>
          <w:p>
            <w:pPr>
              <w:spacing w:line="240" w:lineRule="auto"/>
              <w:jc w:val="right"/>
              <w:rPr>
                <w:rFonts w:ascii="Times New Roman" w:hAnsi="Times New Roman" w:eastAsia="微软雅黑"/>
                <w:sz w:val="18"/>
                <w:szCs w:val="18"/>
              </w:rPr>
            </w:pPr>
            <w:r>
              <w:rPr>
                <w:rFonts w:ascii="Times New Roman" w:hAnsi="Times New Roman" w:eastAsia="微软雅黑"/>
                <w:sz w:val="18"/>
                <w:szCs w:val="18"/>
              </w:rPr>
              <w:t>165,631,731.36</w:t>
            </w:r>
          </w:p>
        </w:tc>
        <w:tc>
          <w:tcPr>
            <w:tcW w:w="1426" w:type="dxa"/>
            <w:tcBorders>
              <w:top w:val="nil"/>
              <w:left w:val="nil"/>
              <w:bottom w:val="single" w:color="auto" w:sz="4" w:space="0"/>
              <w:right w:val="single" w:color="auto" w:sz="4" w:space="0"/>
            </w:tcBorders>
            <w:vAlign w:val="center"/>
          </w:tcPr>
          <w:p>
            <w:pPr>
              <w:spacing w:line="240" w:lineRule="auto"/>
              <w:jc w:val="right"/>
              <w:rPr>
                <w:rFonts w:ascii="Times New Roman" w:hAnsi="Times New Roman" w:eastAsia="微软雅黑"/>
                <w:sz w:val="18"/>
                <w:szCs w:val="18"/>
              </w:rPr>
            </w:pPr>
            <w:r>
              <w:rPr>
                <w:rFonts w:ascii="Times New Roman" w:hAnsi="Times New Roman" w:eastAsia="微软雅黑"/>
                <w:sz w:val="18"/>
                <w:szCs w:val="18"/>
              </w:rPr>
              <w:t>178,882,292.64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936" w:type="dxa"/>
            <w:tcBorders>
              <w:top w:val="nil"/>
              <w:left w:val="single" w:color="auto" w:sz="8" w:space="0"/>
              <w:bottom w:val="single" w:color="auto" w:sz="4" w:space="0"/>
              <w:right w:val="single" w:color="auto" w:sz="4" w:space="0"/>
            </w:tcBorders>
            <w:vAlign w:val="center"/>
          </w:tcPr>
          <w:p>
            <w:pPr>
              <w:widowControl/>
              <w:spacing w:line="240" w:lineRule="auto"/>
              <w:jc w:val="left"/>
              <w:rPr>
                <w:rFonts w:ascii="Times New Roman" w:hAnsi="Times New Roman" w:eastAsia="宋体"/>
                <w:bCs/>
                <w:spacing w:val="0"/>
                <w:kern w:val="0"/>
                <w:sz w:val="18"/>
                <w:szCs w:val="18"/>
              </w:rPr>
            </w:pPr>
            <w:r>
              <w:rPr>
                <w:rFonts w:ascii="Times New Roman" w:hAnsi="Times New Roman" w:eastAsia="宋体"/>
                <w:bCs/>
                <w:spacing w:val="0"/>
                <w:kern w:val="0"/>
                <w:sz w:val="18"/>
                <w:szCs w:val="18"/>
              </w:rPr>
              <w:t>存款余额</w:t>
            </w:r>
          </w:p>
        </w:tc>
        <w:tc>
          <w:tcPr>
            <w:tcW w:w="1426" w:type="dxa"/>
            <w:tcBorders>
              <w:top w:val="nil"/>
              <w:left w:val="nil"/>
              <w:bottom w:val="single" w:color="auto" w:sz="4" w:space="0"/>
              <w:right w:val="single" w:color="auto" w:sz="4" w:space="0"/>
            </w:tcBorders>
            <w:vAlign w:val="center"/>
          </w:tcPr>
          <w:p>
            <w:pPr>
              <w:spacing w:line="240" w:lineRule="auto"/>
              <w:jc w:val="right"/>
              <w:rPr>
                <w:rFonts w:ascii="Times New Roman" w:hAnsi="Times New Roman" w:eastAsia="微软雅黑"/>
                <w:sz w:val="18"/>
                <w:szCs w:val="18"/>
              </w:rPr>
            </w:pPr>
            <w:r>
              <w:rPr>
                <w:rFonts w:ascii="Times New Roman" w:hAnsi="Times New Roman" w:eastAsia="微软雅黑"/>
                <w:sz w:val="18"/>
                <w:szCs w:val="18"/>
              </w:rPr>
              <w:t>176,480,100.00</w:t>
            </w:r>
          </w:p>
        </w:tc>
        <w:tc>
          <w:tcPr>
            <w:tcW w:w="1426" w:type="dxa"/>
            <w:tcBorders>
              <w:top w:val="nil"/>
              <w:left w:val="nil"/>
              <w:bottom w:val="single" w:color="auto" w:sz="4" w:space="0"/>
              <w:right w:val="single" w:color="auto" w:sz="4" w:space="0"/>
            </w:tcBorders>
            <w:vAlign w:val="center"/>
          </w:tcPr>
          <w:p>
            <w:pPr>
              <w:spacing w:line="240" w:lineRule="auto"/>
              <w:jc w:val="right"/>
              <w:rPr>
                <w:rFonts w:ascii="Times New Roman" w:hAnsi="Times New Roman" w:eastAsia="微软雅黑"/>
                <w:sz w:val="18"/>
                <w:szCs w:val="18"/>
              </w:rPr>
            </w:pPr>
            <w:r>
              <w:rPr>
                <w:rFonts w:ascii="Times New Roman" w:hAnsi="Times New Roman" w:eastAsia="微软雅黑"/>
                <w:sz w:val="18"/>
                <w:szCs w:val="18"/>
              </w:rPr>
              <w:t>194,128,100.00</w:t>
            </w:r>
          </w:p>
        </w:tc>
        <w:tc>
          <w:tcPr>
            <w:tcW w:w="1426" w:type="dxa"/>
            <w:tcBorders>
              <w:top w:val="nil"/>
              <w:left w:val="nil"/>
              <w:bottom w:val="single" w:color="auto" w:sz="4" w:space="0"/>
              <w:right w:val="single" w:color="auto" w:sz="4" w:space="0"/>
            </w:tcBorders>
            <w:vAlign w:val="center"/>
          </w:tcPr>
          <w:p>
            <w:pPr>
              <w:spacing w:line="240" w:lineRule="auto"/>
              <w:jc w:val="right"/>
              <w:rPr>
                <w:rFonts w:ascii="Times New Roman" w:hAnsi="Times New Roman" w:eastAsia="微软雅黑"/>
                <w:sz w:val="18"/>
                <w:szCs w:val="18"/>
              </w:rPr>
            </w:pPr>
            <w:r>
              <w:rPr>
                <w:rFonts w:ascii="Times New Roman" w:hAnsi="Times New Roman" w:eastAsia="微软雅黑"/>
                <w:sz w:val="18"/>
                <w:szCs w:val="18"/>
              </w:rPr>
              <w:t>213,540,900.00</w:t>
            </w:r>
          </w:p>
        </w:tc>
        <w:tc>
          <w:tcPr>
            <w:tcW w:w="1426" w:type="dxa"/>
            <w:tcBorders>
              <w:top w:val="nil"/>
              <w:left w:val="nil"/>
              <w:bottom w:val="single" w:color="auto" w:sz="4" w:space="0"/>
              <w:right w:val="single" w:color="auto" w:sz="4" w:space="0"/>
            </w:tcBorders>
            <w:vAlign w:val="center"/>
          </w:tcPr>
          <w:p>
            <w:pPr>
              <w:spacing w:line="240" w:lineRule="auto"/>
              <w:jc w:val="right"/>
              <w:rPr>
                <w:rFonts w:ascii="Times New Roman" w:hAnsi="Times New Roman" w:eastAsia="微软雅黑"/>
                <w:sz w:val="18"/>
                <w:szCs w:val="18"/>
              </w:rPr>
            </w:pPr>
            <w:r>
              <w:rPr>
                <w:rFonts w:ascii="Times New Roman" w:hAnsi="Times New Roman" w:eastAsia="微软雅黑"/>
                <w:sz w:val="18"/>
                <w:szCs w:val="18"/>
              </w:rPr>
              <w:t>232,759,600.00</w:t>
            </w:r>
          </w:p>
        </w:tc>
        <w:tc>
          <w:tcPr>
            <w:tcW w:w="1426" w:type="dxa"/>
            <w:tcBorders>
              <w:top w:val="nil"/>
              <w:left w:val="nil"/>
              <w:bottom w:val="single" w:color="auto" w:sz="4" w:space="0"/>
              <w:right w:val="single" w:color="auto" w:sz="4" w:space="0"/>
            </w:tcBorders>
            <w:vAlign w:val="center"/>
          </w:tcPr>
          <w:p>
            <w:pPr>
              <w:spacing w:line="240" w:lineRule="auto"/>
              <w:jc w:val="right"/>
              <w:rPr>
                <w:rFonts w:ascii="Times New Roman" w:hAnsi="Times New Roman" w:eastAsia="微软雅黑"/>
                <w:sz w:val="18"/>
                <w:szCs w:val="18"/>
              </w:rPr>
            </w:pPr>
            <w:r>
              <w:rPr>
                <w:rFonts w:ascii="Times New Roman" w:hAnsi="Times New Roman" w:eastAsia="微软雅黑"/>
                <w:sz w:val="18"/>
                <w:szCs w:val="18"/>
              </w:rPr>
              <w:t>251,380,400.00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936" w:type="dxa"/>
            <w:tcBorders>
              <w:top w:val="nil"/>
              <w:left w:val="single" w:color="auto" w:sz="8" w:space="0"/>
              <w:bottom w:val="single" w:color="auto" w:sz="4" w:space="0"/>
              <w:right w:val="single" w:color="auto" w:sz="4" w:space="0"/>
            </w:tcBorders>
            <w:vAlign w:val="center"/>
          </w:tcPr>
          <w:p>
            <w:pPr>
              <w:widowControl/>
              <w:spacing w:line="240" w:lineRule="auto"/>
              <w:jc w:val="left"/>
              <w:rPr>
                <w:rFonts w:ascii="Times New Roman" w:hAnsi="Times New Roman" w:eastAsia="宋体"/>
                <w:bCs/>
                <w:spacing w:val="0"/>
                <w:kern w:val="0"/>
                <w:sz w:val="18"/>
                <w:szCs w:val="18"/>
              </w:rPr>
            </w:pPr>
            <w:r>
              <w:rPr>
                <w:rFonts w:ascii="Times New Roman" w:hAnsi="Times New Roman" w:eastAsia="宋体"/>
                <w:bCs/>
                <w:spacing w:val="0"/>
                <w:kern w:val="0"/>
                <w:sz w:val="18"/>
                <w:szCs w:val="18"/>
              </w:rPr>
              <w:t>存贷比</w:t>
            </w:r>
          </w:p>
        </w:tc>
        <w:tc>
          <w:tcPr>
            <w:tcW w:w="1426" w:type="dxa"/>
            <w:tcBorders>
              <w:top w:val="nil"/>
              <w:left w:val="nil"/>
              <w:bottom w:val="single" w:color="auto" w:sz="4" w:space="0"/>
              <w:right w:val="single" w:color="auto" w:sz="4" w:space="0"/>
            </w:tcBorders>
            <w:vAlign w:val="center"/>
          </w:tcPr>
          <w:p>
            <w:pPr>
              <w:spacing w:line="240" w:lineRule="auto"/>
              <w:jc w:val="right"/>
              <w:rPr>
                <w:rFonts w:ascii="Times New Roman" w:hAnsi="Times New Roman" w:eastAsia="微软雅黑"/>
                <w:sz w:val="18"/>
                <w:szCs w:val="18"/>
              </w:rPr>
            </w:pPr>
            <w:r>
              <w:rPr>
                <w:rFonts w:ascii="Times New Roman" w:hAnsi="Times New Roman" w:eastAsia="微软雅黑"/>
                <w:sz w:val="18"/>
                <w:szCs w:val="18"/>
              </w:rPr>
              <w:t>71.16%</w:t>
            </w:r>
          </w:p>
        </w:tc>
        <w:tc>
          <w:tcPr>
            <w:tcW w:w="1426" w:type="dxa"/>
            <w:tcBorders>
              <w:top w:val="nil"/>
              <w:left w:val="nil"/>
              <w:bottom w:val="single" w:color="auto" w:sz="4" w:space="0"/>
              <w:right w:val="single" w:color="auto" w:sz="4" w:space="0"/>
            </w:tcBorders>
            <w:vAlign w:val="center"/>
          </w:tcPr>
          <w:p>
            <w:pPr>
              <w:spacing w:line="240" w:lineRule="auto"/>
              <w:jc w:val="right"/>
              <w:rPr>
                <w:rFonts w:ascii="Times New Roman" w:hAnsi="Times New Roman" w:eastAsia="微软雅黑"/>
                <w:sz w:val="18"/>
                <w:szCs w:val="18"/>
              </w:rPr>
            </w:pPr>
            <w:r>
              <w:rPr>
                <w:rFonts w:ascii="Times New Roman" w:hAnsi="Times New Roman" w:eastAsia="微软雅黑"/>
                <w:sz w:val="18"/>
                <w:szCs w:val="18"/>
              </w:rPr>
              <w:t>71.16%</w:t>
            </w:r>
          </w:p>
        </w:tc>
        <w:tc>
          <w:tcPr>
            <w:tcW w:w="1426" w:type="dxa"/>
            <w:tcBorders>
              <w:top w:val="nil"/>
              <w:left w:val="nil"/>
              <w:bottom w:val="single" w:color="auto" w:sz="4" w:space="0"/>
              <w:right w:val="single" w:color="auto" w:sz="4" w:space="0"/>
            </w:tcBorders>
            <w:vAlign w:val="center"/>
          </w:tcPr>
          <w:p>
            <w:pPr>
              <w:spacing w:line="240" w:lineRule="auto"/>
              <w:jc w:val="right"/>
              <w:rPr>
                <w:rFonts w:ascii="Times New Roman" w:hAnsi="Times New Roman" w:eastAsia="微软雅黑"/>
                <w:sz w:val="18"/>
                <w:szCs w:val="18"/>
              </w:rPr>
            </w:pPr>
            <w:r>
              <w:rPr>
                <w:rFonts w:ascii="Times New Roman" w:hAnsi="Times New Roman" w:eastAsia="微软雅黑"/>
                <w:sz w:val="18"/>
                <w:szCs w:val="18"/>
              </w:rPr>
              <w:t>71.16%</w:t>
            </w:r>
          </w:p>
        </w:tc>
        <w:tc>
          <w:tcPr>
            <w:tcW w:w="1426" w:type="dxa"/>
            <w:tcBorders>
              <w:top w:val="nil"/>
              <w:left w:val="nil"/>
              <w:bottom w:val="single" w:color="auto" w:sz="4" w:space="0"/>
              <w:right w:val="single" w:color="auto" w:sz="4" w:space="0"/>
            </w:tcBorders>
            <w:vAlign w:val="center"/>
          </w:tcPr>
          <w:p>
            <w:pPr>
              <w:spacing w:line="240" w:lineRule="auto"/>
              <w:jc w:val="right"/>
              <w:rPr>
                <w:rFonts w:ascii="Times New Roman" w:hAnsi="Times New Roman" w:eastAsia="微软雅黑"/>
                <w:sz w:val="18"/>
                <w:szCs w:val="18"/>
              </w:rPr>
            </w:pPr>
            <w:r>
              <w:rPr>
                <w:rFonts w:ascii="Times New Roman" w:hAnsi="Times New Roman" w:eastAsia="微软雅黑"/>
                <w:sz w:val="18"/>
                <w:szCs w:val="18"/>
              </w:rPr>
              <w:t>71.16%</w:t>
            </w:r>
          </w:p>
        </w:tc>
        <w:tc>
          <w:tcPr>
            <w:tcW w:w="1426" w:type="dxa"/>
            <w:tcBorders>
              <w:top w:val="nil"/>
              <w:left w:val="nil"/>
              <w:bottom w:val="single" w:color="auto" w:sz="4" w:space="0"/>
              <w:right w:val="single" w:color="auto" w:sz="4" w:space="0"/>
            </w:tcBorders>
            <w:vAlign w:val="center"/>
          </w:tcPr>
          <w:p>
            <w:pPr>
              <w:spacing w:line="240" w:lineRule="auto"/>
              <w:jc w:val="right"/>
              <w:rPr>
                <w:rFonts w:ascii="Times New Roman" w:hAnsi="Times New Roman" w:eastAsia="微软雅黑"/>
                <w:sz w:val="18"/>
                <w:szCs w:val="18"/>
              </w:rPr>
            </w:pPr>
            <w:r>
              <w:rPr>
                <w:rFonts w:ascii="Times New Roman" w:hAnsi="Times New Roman" w:eastAsia="微软雅黑"/>
                <w:sz w:val="18"/>
                <w:szCs w:val="18"/>
              </w:rPr>
              <w:t>71.16%</w:t>
            </w:r>
          </w:p>
        </w:tc>
      </w:tr>
    </w:tbl>
    <w:p>
      <w:pPr>
        <w:spacing w:line="360" w:lineRule="auto"/>
        <w:ind w:firstLine="584" w:firstLineChars="200"/>
        <w:rPr>
          <w:rFonts w:ascii="Times New Roman" w:hAnsi="Times New Roman"/>
          <w:sz w:val="28"/>
        </w:rPr>
      </w:pPr>
      <w:r>
        <w:rPr>
          <w:rFonts w:ascii="Times New Roman" w:hAnsi="Times New Roman"/>
          <w:sz w:val="28"/>
        </w:rPr>
        <w:t>3</w:t>
      </w:r>
      <w:r>
        <w:rPr>
          <w:rFonts w:hint="eastAsia" w:ascii="Times New Roman" w:hAnsi="Times New Roman"/>
          <w:sz w:val="28"/>
        </w:rPr>
        <w:t>．</w:t>
      </w:r>
      <w:r>
        <w:rPr>
          <w:rFonts w:ascii="Times New Roman" w:hAnsi="Times New Roman"/>
          <w:sz w:val="28"/>
        </w:rPr>
        <w:t>存放央行款项及存放同业及其他金融机构款项预测</w:t>
      </w:r>
    </w:p>
    <w:p>
      <w:pPr>
        <w:spacing w:line="360" w:lineRule="auto"/>
        <w:ind w:firstLine="584" w:firstLineChars="200"/>
        <w:rPr>
          <w:rFonts w:ascii="Times New Roman" w:hAnsi="Times New Roman"/>
          <w:sz w:val="28"/>
          <w:szCs w:val="28"/>
        </w:rPr>
      </w:pPr>
      <w:r>
        <w:rPr>
          <w:rFonts w:ascii="Times New Roman" w:hAnsi="Times New Roman"/>
          <w:kern w:val="0"/>
          <w:sz w:val="28"/>
          <w:szCs w:val="28"/>
        </w:rPr>
        <w:t>xx银行存放央行的款项主要为存放央行的准备金及超额准备金，xx银行20</w:t>
      </w:r>
      <w:r>
        <w:rPr>
          <w:rFonts w:hint="eastAsia" w:ascii="Times New Roman" w:hAnsi="Times New Roman"/>
          <w:kern w:val="0"/>
          <w:sz w:val="28"/>
          <w:szCs w:val="28"/>
        </w:rPr>
        <w:t>y</w:t>
      </w:r>
      <w:r>
        <w:rPr>
          <w:rFonts w:ascii="Times New Roman" w:hAnsi="Times New Roman"/>
          <w:kern w:val="0"/>
          <w:sz w:val="28"/>
          <w:szCs w:val="28"/>
        </w:rPr>
        <w:t>9年至20x3年存款准备金率维持在20%左右,如下表所示。</w:t>
      </w:r>
    </w:p>
    <w:tbl>
      <w:tblPr>
        <w:tblStyle w:val="27"/>
        <w:tblW w:w="91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07"/>
        <w:gridCol w:w="1431"/>
        <w:gridCol w:w="1431"/>
        <w:gridCol w:w="1431"/>
        <w:gridCol w:w="1431"/>
        <w:gridCol w:w="14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2007" w:type="dxa"/>
            <w:tcBorders>
              <w:top w:val="single" w:color="auto" w:sz="8" w:space="0"/>
              <w:left w:val="single" w:color="auto" w:sz="4" w:space="0"/>
              <w:bottom w:val="single" w:color="auto" w:sz="4" w:space="0"/>
              <w:right w:val="single" w:color="auto" w:sz="4" w:space="0"/>
            </w:tcBorders>
            <w:vAlign w:val="center"/>
          </w:tcPr>
          <w:p>
            <w:pPr>
              <w:widowControl/>
              <w:spacing w:line="240" w:lineRule="auto"/>
              <w:jc w:val="center"/>
              <w:rPr>
                <w:rFonts w:ascii="Times New Roman" w:hAnsi="Times New Roman" w:eastAsia="宋体"/>
                <w:b/>
                <w:bCs/>
                <w:spacing w:val="0"/>
                <w:kern w:val="0"/>
                <w:sz w:val="18"/>
                <w:szCs w:val="18"/>
              </w:rPr>
            </w:pPr>
            <w:r>
              <w:rPr>
                <w:rFonts w:ascii="Times New Roman" w:hAnsi="Times New Roman" w:eastAsia="宋体"/>
                <w:b/>
                <w:bCs/>
                <w:spacing w:val="0"/>
                <w:kern w:val="0"/>
                <w:sz w:val="18"/>
                <w:szCs w:val="18"/>
              </w:rPr>
              <w:t>项目</w:t>
            </w:r>
          </w:p>
        </w:tc>
        <w:tc>
          <w:tcPr>
            <w:tcW w:w="1431" w:type="dxa"/>
            <w:tcBorders>
              <w:top w:val="single" w:color="auto" w:sz="8" w:space="0"/>
              <w:left w:val="nil"/>
              <w:bottom w:val="single" w:color="auto" w:sz="4" w:space="0"/>
              <w:right w:val="single" w:color="auto" w:sz="4" w:space="0"/>
            </w:tcBorders>
            <w:vAlign w:val="center"/>
          </w:tcPr>
          <w:p>
            <w:pPr>
              <w:widowControl/>
              <w:spacing w:line="240" w:lineRule="auto"/>
              <w:jc w:val="center"/>
              <w:rPr>
                <w:rFonts w:ascii="Times New Roman" w:hAnsi="Times New Roman" w:eastAsia="宋体"/>
                <w:b/>
                <w:spacing w:val="0"/>
                <w:kern w:val="0"/>
                <w:sz w:val="18"/>
                <w:szCs w:val="18"/>
              </w:rPr>
            </w:pPr>
            <w:r>
              <w:rPr>
                <w:rFonts w:ascii="Times New Roman" w:hAnsi="Times New Roman" w:eastAsia="宋体"/>
                <w:b/>
                <w:spacing w:val="0"/>
                <w:kern w:val="0"/>
                <w:sz w:val="18"/>
                <w:szCs w:val="18"/>
              </w:rPr>
              <w:t>20</w:t>
            </w:r>
            <w:r>
              <w:rPr>
                <w:rFonts w:hint="eastAsia" w:ascii="Times New Roman" w:hAnsi="Times New Roman" w:eastAsia="宋体"/>
                <w:b/>
                <w:spacing w:val="0"/>
                <w:kern w:val="0"/>
                <w:sz w:val="18"/>
                <w:szCs w:val="18"/>
                <w:lang w:val="en-US" w:eastAsia="zh-CN"/>
              </w:rPr>
              <w:t>y</w:t>
            </w:r>
            <w:r>
              <w:rPr>
                <w:rFonts w:ascii="Times New Roman" w:hAnsi="Times New Roman" w:eastAsia="宋体"/>
                <w:b/>
                <w:spacing w:val="0"/>
                <w:kern w:val="0"/>
                <w:sz w:val="18"/>
                <w:szCs w:val="18"/>
              </w:rPr>
              <w:t>9年</w:t>
            </w:r>
          </w:p>
        </w:tc>
        <w:tc>
          <w:tcPr>
            <w:tcW w:w="1431" w:type="dxa"/>
            <w:tcBorders>
              <w:top w:val="single" w:color="auto" w:sz="8" w:space="0"/>
              <w:left w:val="nil"/>
              <w:bottom w:val="single" w:color="auto" w:sz="4" w:space="0"/>
              <w:right w:val="single" w:color="auto" w:sz="4" w:space="0"/>
            </w:tcBorders>
            <w:vAlign w:val="center"/>
          </w:tcPr>
          <w:p>
            <w:pPr>
              <w:widowControl/>
              <w:spacing w:line="240" w:lineRule="auto"/>
              <w:jc w:val="center"/>
              <w:rPr>
                <w:rFonts w:ascii="Times New Roman" w:hAnsi="Times New Roman" w:eastAsia="宋体"/>
                <w:b/>
                <w:spacing w:val="0"/>
                <w:kern w:val="0"/>
                <w:sz w:val="18"/>
                <w:szCs w:val="18"/>
              </w:rPr>
            </w:pPr>
            <w:r>
              <w:rPr>
                <w:rFonts w:ascii="Times New Roman" w:hAnsi="Times New Roman" w:eastAsia="宋体"/>
                <w:b/>
                <w:spacing w:val="0"/>
                <w:kern w:val="0"/>
                <w:sz w:val="18"/>
                <w:szCs w:val="18"/>
              </w:rPr>
              <w:t>20x0年</w:t>
            </w:r>
          </w:p>
        </w:tc>
        <w:tc>
          <w:tcPr>
            <w:tcW w:w="1431" w:type="dxa"/>
            <w:tcBorders>
              <w:top w:val="single" w:color="auto" w:sz="8" w:space="0"/>
              <w:left w:val="nil"/>
              <w:bottom w:val="single" w:color="auto" w:sz="4" w:space="0"/>
              <w:right w:val="single" w:color="auto" w:sz="4" w:space="0"/>
            </w:tcBorders>
            <w:vAlign w:val="center"/>
          </w:tcPr>
          <w:p>
            <w:pPr>
              <w:widowControl/>
              <w:spacing w:line="240" w:lineRule="auto"/>
              <w:jc w:val="center"/>
              <w:rPr>
                <w:rFonts w:ascii="Times New Roman" w:hAnsi="Times New Roman" w:eastAsia="宋体"/>
                <w:b/>
                <w:spacing w:val="0"/>
                <w:kern w:val="0"/>
                <w:sz w:val="18"/>
                <w:szCs w:val="18"/>
              </w:rPr>
            </w:pPr>
            <w:r>
              <w:rPr>
                <w:rFonts w:ascii="Times New Roman" w:hAnsi="Times New Roman" w:eastAsia="宋体"/>
                <w:b/>
                <w:spacing w:val="0"/>
                <w:kern w:val="0"/>
                <w:sz w:val="18"/>
                <w:szCs w:val="18"/>
              </w:rPr>
              <w:t>20x1年</w:t>
            </w:r>
          </w:p>
        </w:tc>
        <w:tc>
          <w:tcPr>
            <w:tcW w:w="1431" w:type="dxa"/>
            <w:tcBorders>
              <w:top w:val="single" w:color="auto" w:sz="8" w:space="0"/>
              <w:left w:val="nil"/>
              <w:bottom w:val="single" w:color="auto" w:sz="4" w:space="0"/>
              <w:right w:val="single" w:color="auto" w:sz="4" w:space="0"/>
            </w:tcBorders>
            <w:vAlign w:val="center"/>
          </w:tcPr>
          <w:p>
            <w:pPr>
              <w:widowControl/>
              <w:spacing w:line="240" w:lineRule="auto"/>
              <w:jc w:val="center"/>
              <w:rPr>
                <w:rFonts w:ascii="Times New Roman" w:hAnsi="Times New Roman" w:eastAsia="宋体"/>
                <w:b/>
                <w:spacing w:val="0"/>
                <w:kern w:val="0"/>
                <w:sz w:val="18"/>
                <w:szCs w:val="18"/>
              </w:rPr>
            </w:pPr>
            <w:r>
              <w:rPr>
                <w:rFonts w:ascii="Times New Roman" w:hAnsi="Times New Roman" w:eastAsia="宋体"/>
                <w:b/>
                <w:spacing w:val="0"/>
                <w:kern w:val="0"/>
                <w:sz w:val="18"/>
                <w:szCs w:val="18"/>
              </w:rPr>
              <w:t>20x2年</w:t>
            </w:r>
          </w:p>
        </w:tc>
        <w:tc>
          <w:tcPr>
            <w:tcW w:w="1431" w:type="dxa"/>
            <w:tcBorders>
              <w:top w:val="single" w:color="auto" w:sz="8" w:space="0"/>
              <w:left w:val="nil"/>
              <w:bottom w:val="single" w:color="auto" w:sz="4" w:space="0"/>
              <w:right w:val="single" w:color="auto" w:sz="4" w:space="0"/>
            </w:tcBorders>
            <w:vAlign w:val="center"/>
          </w:tcPr>
          <w:p>
            <w:pPr>
              <w:widowControl/>
              <w:spacing w:line="240" w:lineRule="auto"/>
              <w:jc w:val="center"/>
              <w:rPr>
                <w:rFonts w:ascii="Times New Roman" w:hAnsi="Times New Roman" w:eastAsia="宋体"/>
                <w:b/>
                <w:spacing w:val="0"/>
                <w:kern w:val="0"/>
                <w:sz w:val="18"/>
                <w:szCs w:val="18"/>
              </w:rPr>
            </w:pPr>
            <w:r>
              <w:rPr>
                <w:rFonts w:ascii="Times New Roman" w:hAnsi="Times New Roman" w:eastAsia="宋体"/>
                <w:b/>
                <w:spacing w:val="0"/>
                <w:kern w:val="0"/>
                <w:sz w:val="18"/>
                <w:szCs w:val="18"/>
              </w:rPr>
              <w:t>20x3年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2007" w:type="dxa"/>
            <w:tcBorders>
              <w:top w:val="nil"/>
              <w:left w:val="single" w:color="auto" w:sz="4" w:space="0"/>
              <w:bottom w:val="single" w:color="auto" w:sz="4" w:space="0"/>
              <w:right w:val="single" w:color="auto" w:sz="4" w:space="0"/>
            </w:tcBorders>
            <w:vAlign w:val="center"/>
          </w:tcPr>
          <w:p>
            <w:pPr>
              <w:spacing w:line="240" w:lineRule="auto"/>
              <w:jc w:val="center"/>
              <w:rPr>
                <w:rFonts w:ascii="Times New Roman" w:hAnsi="Times New Roman" w:eastAsia="宋体"/>
                <w:bCs/>
                <w:sz w:val="18"/>
                <w:szCs w:val="18"/>
              </w:rPr>
            </w:pPr>
            <w:r>
              <w:rPr>
                <w:rFonts w:ascii="Times New Roman" w:hAnsi="Times New Roman" w:eastAsia="宋体"/>
                <w:bCs/>
                <w:sz w:val="18"/>
                <w:szCs w:val="18"/>
              </w:rPr>
              <w:t>存放中央银行款项</w:t>
            </w:r>
          </w:p>
        </w:tc>
        <w:tc>
          <w:tcPr>
            <w:tcW w:w="1431"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13,736,655.60</w:t>
            </w:r>
          </w:p>
        </w:tc>
        <w:tc>
          <w:tcPr>
            <w:tcW w:w="1431"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18,571,265.30</w:t>
            </w:r>
          </w:p>
        </w:tc>
        <w:tc>
          <w:tcPr>
            <w:tcW w:w="1431"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22,859,996.60</w:t>
            </w:r>
          </w:p>
        </w:tc>
        <w:tc>
          <w:tcPr>
            <w:tcW w:w="1431"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28,541,821.53</w:t>
            </w:r>
          </w:p>
        </w:tc>
        <w:tc>
          <w:tcPr>
            <w:tcW w:w="1431"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31,249,361.53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2007" w:type="dxa"/>
            <w:tcBorders>
              <w:top w:val="nil"/>
              <w:left w:val="single" w:color="auto" w:sz="4" w:space="0"/>
              <w:bottom w:val="single" w:color="auto" w:sz="4" w:space="0"/>
              <w:right w:val="single" w:color="auto" w:sz="4" w:space="0"/>
            </w:tcBorders>
            <w:vAlign w:val="center"/>
          </w:tcPr>
          <w:p>
            <w:pPr>
              <w:spacing w:line="240" w:lineRule="auto"/>
              <w:jc w:val="center"/>
              <w:rPr>
                <w:rFonts w:ascii="Times New Roman" w:hAnsi="Times New Roman" w:eastAsia="宋体"/>
                <w:sz w:val="18"/>
                <w:szCs w:val="18"/>
              </w:rPr>
            </w:pPr>
            <w:r>
              <w:rPr>
                <w:rFonts w:ascii="Times New Roman" w:hAnsi="Times New Roman" w:eastAsia="宋体"/>
                <w:sz w:val="18"/>
                <w:szCs w:val="18"/>
              </w:rPr>
              <w:t>准备金率</w:t>
            </w:r>
          </w:p>
        </w:tc>
        <w:tc>
          <w:tcPr>
            <w:tcW w:w="1431"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17.18%</w:t>
            </w:r>
          </w:p>
        </w:tc>
        <w:tc>
          <w:tcPr>
            <w:tcW w:w="1431"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18.04%</w:t>
            </w:r>
          </w:p>
        </w:tc>
        <w:tc>
          <w:tcPr>
            <w:tcW w:w="1431"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19.40%</w:t>
            </w:r>
          </w:p>
        </w:tc>
        <w:tc>
          <w:tcPr>
            <w:tcW w:w="1431"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20.01%</w:t>
            </w:r>
          </w:p>
        </w:tc>
        <w:tc>
          <w:tcPr>
            <w:tcW w:w="1431"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19.48%</w:t>
            </w:r>
          </w:p>
        </w:tc>
      </w:tr>
    </w:tbl>
    <w:p>
      <w:pPr>
        <w:spacing w:line="360" w:lineRule="auto"/>
        <w:ind w:firstLine="584" w:firstLineChars="200"/>
        <w:rPr>
          <w:rFonts w:ascii="Times New Roman" w:hAnsi="Times New Roman"/>
          <w:sz w:val="28"/>
        </w:rPr>
      </w:pPr>
    </w:p>
    <w:p>
      <w:pPr>
        <w:spacing w:line="360" w:lineRule="auto"/>
        <w:ind w:firstLine="584" w:firstLineChars="200"/>
        <w:rPr>
          <w:rFonts w:ascii="Times New Roman" w:hAnsi="Times New Roman"/>
          <w:kern w:val="0"/>
          <w:sz w:val="28"/>
          <w:szCs w:val="28"/>
        </w:rPr>
      </w:pPr>
      <w:r>
        <w:rPr>
          <w:rFonts w:ascii="Times New Roman" w:hAnsi="Times New Roman"/>
          <w:kern w:val="0"/>
          <w:sz w:val="28"/>
          <w:szCs w:val="28"/>
        </w:rPr>
        <w:t>预测20x4年及以后xx银行的存款准备金率维持20%。预测期xx银行存放央行款项预测如下表所示。</w:t>
      </w:r>
    </w:p>
    <w:tbl>
      <w:tblPr>
        <w:tblStyle w:val="27"/>
        <w:tblW w:w="91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57"/>
        <w:gridCol w:w="1442"/>
        <w:gridCol w:w="1442"/>
        <w:gridCol w:w="1442"/>
        <w:gridCol w:w="1442"/>
        <w:gridCol w:w="14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957" w:type="dxa"/>
            <w:tcBorders>
              <w:top w:val="single" w:color="auto" w:sz="8" w:space="0"/>
              <w:left w:val="single" w:color="auto" w:sz="4" w:space="0"/>
              <w:bottom w:val="single" w:color="auto" w:sz="4" w:space="0"/>
              <w:right w:val="single" w:color="auto" w:sz="4" w:space="0"/>
            </w:tcBorders>
            <w:vAlign w:val="center"/>
          </w:tcPr>
          <w:p>
            <w:pPr>
              <w:widowControl/>
              <w:spacing w:line="240" w:lineRule="auto"/>
              <w:jc w:val="center"/>
              <w:rPr>
                <w:rFonts w:ascii="Times New Roman" w:hAnsi="Times New Roman" w:eastAsia="宋体"/>
                <w:b/>
                <w:bCs/>
                <w:spacing w:val="0"/>
                <w:kern w:val="0"/>
                <w:sz w:val="18"/>
                <w:szCs w:val="18"/>
              </w:rPr>
            </w:pPr>
            <w:r>
              <w:rPr>
                <w:rFonts w:ascii="Times New Roman" w:hAnsi="Times New Roman" w:eastAsia="宋体"/>
                <w:b/>
                <w:bCs/>
                <w:spacing w:val="0"/>
                <w:kern w:val="0"/>
                <w:sz w:val="18"/>
                <w:szCs w:val="18"/>
              </w:rPr>
              <w:t>项目</w:t>
            </w:r>
          </w:p>
        </w:tc>
        <w:tc>
          <w:tcPr>
            <w:tcW w:w="1442" w:type="dxa"/>
            <w:tcBorders>
              <w:top w:val="single" w:color="auto" w:sz="8" w:space="0"/>
              <w:left w:val="nil"/>
              <w:bottom w:val="single" w:color="auto" w:sz="4" w:space="0"/>
              <w:right w:val="single" w:color="auto" w:sz="4" w:space="0"/>
            </w:tcBorders>
            <w:vAlign w:val="center"/>
          </w:tcPr>
          <w:p>
            <w:pPr>
              <w:spacing w:line="240" w:lineRule="auto"/>
              <w:jc w:val="center"/>
              <w:rPr>
                <w:rFonts w:ascii="Times New Roman" w:hAnsi="Times New Roman"/>
                <w:b/>
                <w:sz w:val="18"/>
                <w:szCs w:val="18"/>
              </w:rPr>
            </w:pPr>
            <w:r>
              <w:rPr>
                <w:rFonts w:ascii="Times New Roman" w:hAnsi="Times New Roman"/>
                <w:b/>
                <w:sz w:val="18"/>
                <w:szCs w:val="18"/>
              </w:rPr>
              <w:t>20x4年</w:t>
            </w:r>
          </w:p>
        </w:tc>
        <w:tc>
          <w:tcPr>
            <w:tcW w:w="1442" w:type="dxa"/>
            <w:tcBorders>
              <w:top w:val="single" w:color="auto" w:sz="8" w:space="0"/>
              <w:left w:val="nil"/>
              <w:bottom w:val="single" w:color="auto" w:sz="4" w:space="0"/>
              <w:right w:val="single" w:color="auto" w:sz="4" w:space="0"/>
            </w:tcBorders>
            <w:vAlign w:val="center"/>
          </w:tcPr>
          <w:p>
            <w:pPr>
              <w:spacing w:line="240" w:lineRule="auto"/>
              <w:jc w:val="center"/>
              <w:rPr>
                <w:rFonts w:ascii="Times New Roman" w:hAnsi="Times New Roman"/>
                <w:b/>
                <w:sz w:val="18"/>
                <w:szCs w:val="18"/>
              </w:rPr>
            </w:pPr>
            <w:r>
              <w:rPr>
                <w:rFonts w:ascii="Times New Roman" w:hAnsi="Times New Roman"/>
                <w:b/>
                <w:sz w:val="18"/>
                <w:szCs w:val="18"/>
              </w:rPr>
              <w:t>20x5年</w:t>
            </w:r>
          </w:p>
        </w:tc>
        <w:tc>
          <w:tcPr>
            <w:tcW w:w="1442" w:type="dxa"/>
            <w:tcBorders>
              <w:top w:val="single" w:color="auto" w:sz="8" w:space="0"/>
              <w:left w:val="nil"/>
              <w:bottom w:val="single" w:color="auto" w:sz="4" w:space="0"/>
              <w:right w:val="single" w:color="auto" w:sz="4" w:space="0"/>
            </w:tcBorders>
            <w:vAlign w:val="center"/>
          </w:tcPr>
          <w:p>
            <w:pPr>
              <w:spacing w:line="240" w:lineRule="auto"/>
              <w:jc w:val="center"/>
              <w:rPr>
                <w:rFonts w:ascii="Times New Roman" w:hAnsi="Times New Roman"/>
                <w:b/>
                <w:sz w:val="18"/>
                <w:szCs w:val="18"/>
              </w:rPr>
            </w:pPr>
            <w:r>
              <w:rPr>
                <w:rFonts w:ascii="Times New Roman" w:hAnsi="Times New Roman"/>
                <w:b/>
                <w:sz w:val="18"/>
                <w:szCs w:val="18"/>
              </w:rPr>
              <w:t>20x6年</w:t>
            </w:r>
          </w:p>
        </w:tc>
        <w:tc>
          <w:tcPr>
            <w:tcW w:w="1442" w:type="dxa"/>
            <w:tcBorders>
              <w:top w:val="single" w:color="auto" w:sz="8" w:space="0"/>
              <w:left w:val="nil"/>
              <w:bottom w:val="single" w:color="auto" w:sz="4" w:space="0"/>
              <w:right w:val="single" w:color="auto" w:sz="4" w:space="0"/>
            </w:tcBorders>
            <w:vAlign w:val="center"/>
          </w:tcPr>
          <w:p>
            <w:pPr>
              <w:spacing w:line="240" w:lineRule="auto"/>
              <w:jc w:val="center"/>
              <w:rPr>
                <w:rFonts w:ascii="Times New Roman" w:hAnsi="Times New Roman"/>
                <w:b/>
                <w:sz w:val="18"/>
                <w:szCs w:val="18"/>
              </w:rPr>
            </w:pPr>
            <w:r>
              <w:rPr>
                <w:rFonts w:ascii="Times New Roman" w:hAnsi="Times New Roman"/>
                <w:b/>
                <w:sz w:val="18"/>
                <w:szCs w:val="18"/>
              </w:rPr>
              <w:t>20x7年</w:t>
            </w:r>
          </w:p>
        </w:tc>
        <w:tc>
          <w:tcPr>
            <w:tcW w:w="1437" w:type="dxa"/>
            <w:tcBorders>
              <w:top w:val="single" w:color="auto" w:sz="8" w:space="0"/>
              <w:left w:val="nil"/>
              <w:bottom w:val="single" w:color="auto" w:sz="4" w:space="0"/>
              <w:right w:val="single" w:color="auto" w:sz="4" w:space="0"/>
            </w:tcBorders>
            <w:vAlign w:val="center"/>
          </w:tcPr>
          <w:p>
            <w:pPr>
              <w:spacing w:line="240" w:lineRule="auto"/>
              <w:jc w:val="center"/>
              <w:rPr>
                <w:rFonts w:ascii="Times New Roman" w:hAnsi="Times New Roman"/>
                <w:b/>
                <w:sz w:val="18"/>
                <w:szCs w:val="18"/>
              </w:rPr>
            </w:pPr>
            <w:r>
              <w:rPr>
                <w:rFonts w:ascii="Times New Roman" w:hAnsi="Times New Roman"/>
                <w:b/>
                <w:sz w:val="18"/>
                <w:szCs w:val="18"/>
              </w:rPr>
              <w:t>20x8年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957" w:type="dxa"/>
            <w:tcBorders>
              <w:top w:val="nil"/>
              <w:left w:val="single" w:color="auto" w:sz="4" w:space="0"/>
              <w:bottom w:val="single" w:color="auto" w:sz="4" w:space="0"/>
              <w:right w:val="single" w:color="auto" w:sz="4" w:space="0"/>
            </w:tcBorders>
            <w:vAlign w:val="center"/>
          </w:tcPr>
          <w:p>
            <w:pPr>
              <w:spacing w:line="240" w:lineRule="auto"/>
              <w:jc w:val="center"/>
              <w:rPr>
                <w:rFonts w:ascii="Times New Roman" w:hAnsi="Times New Roman" w:eastAsia="宋体"/>
                <w:bCs/>
                <w:sz w:val="18"/>
                <w:szCs w:val="18"/>
              </w:rPr>
            </w:pPr>
            <w:r>
              <w:rPr>
                <w:rFonts w:ascii="Times New Roman" w:hAnsi="Times New Roman" w:eastAsia="宋体"/>
                <w:bCs/>
                <w:sz w:val="18"/>
                <w:szCs w:val="18"/>
              </w:rPr>
              <w:t>存放中央银行款项</w:t>
            </w:r>
          </w:p>
        </w:tc>
        <w:tc>
          <w:tcPr>
            <w:tcW w:w="1442" w:type="dxa"/>
            <w:tcBorders>
              <w:top w:val="nil"/>
              <w:left w:val="nil"/>
              <w:bottom w:val="single" w:color="auto" w:sz="4" w:space="0"/>
              <w:right w:val="single" w:color="auto" w:sz="4" w:space="0"/>
            </w:tcBorders>
            <w:vAlign w:val="center"/>
          </w:tcPr>
          <w:p>
            <w:pPr>
              <w:spacing w:line="240" w:lineRule="auto"/>
              <w:jc w:val="right"/>
              <w:rPr>
                <w:rFonts w:ascii="Times New Roman" w:hAnsi="Times New Roman" w:eastAsia="微软雅黑"/>
                <w:sz w:val="18"/>
                <w:szCs w:val="18"/>
              </w:rPr>
            </w:pPr>
            <w:r>
              <w:rPr>
                <w:rFonts w:ascii="Times New Roman" w:hAnsi="Times New Roman" w:eastAsia="微软雅黑"/>
                <w:sz w:val="18"/>
                <w:szCs w:val="18"/>
              </w:rPr>
              <w:t>35,296,020.00</w:t>
            </w:r>
          </w:p>
        </w:tc>
        <w:tc>
          <w:tcPr>
            <w:tcW w:w="1442" w:type="dxa"/>
            <w:tcBorders>
              <w:top w:val="nil"/>
              <w:left w:val="nil"/>
              <w:bottom w:val="single" w:color="auto" w:sz="4" w:space="0"/>
              <w:right w:val="single" w:color="auto" w:sz="4" w:space="0"/>
            </w:tcBorders>
            <w:vAlign w:val="center"/>
          </w:tcPr>
          <w:p>
            <w:pPr>
              <w:spacing w:line="240" w:lineRule="auto"/>
              <w:jc w:val="right"/>
              <w:rPr>
                <w:rFonts w:ascii="Times New Roman" w:hAnsi="Times New Roman" w:eastAsia="微软雅黑"/>
                <w:sz w:val="18"/>
                <w:szCs w:val="18"/>
              </w:rPr>
            </w:pPr>
            <w:r>
              <w:rPr>
                <w:rFonts w:ascii="Times New Roman" w:hAnsi="Times New Roman" w:eastAsia="微软雅黑"/>
                <w:sz w:val="18"/>
                <w:szCs w:val="18"/>
              </w:rPr>
              <w:t>38,825,620.00</w:t>
            </w:r>
          </w:p>
        </w:tc>
        <w:tc>
          <w:tcPr>
            <w:tcW w:w="1442" w:type="dxa"/>
            <w:tcBorders>
              <w:top w:val="nil"/>
              <w:left w:val="nil"/>
              <w:bottom w:val="single" w:color="auto" w:sz="4" w:space="0"/>
              <w:right w:val="single" w:color="auto" w:sz="4" w:space="0"/>
            </w:tcBorders>
            <w:vAlign w:val="center"/>
          </w:tcPr>
          <w:p>
            <w:pPr>
              <w:spacing w:line="240" w:lineRule="auto"/>
              <w:jc w:val="right"/>
              <w:rPr>
                <w:rFonts w:ascii="Times New Roman" w:hAnsi="Times New Roman" w:eastAsia="微软雅黑"/>
                <w:sz w:val="18"/>
                <w:szCs w:val="18"/>
              </w:rPr>
            </w:pPr>
            <w:r>
              <w:rPr>
                <w:rFonts w:ascii="Times New Roman" w:hAnsi="Times New Roman" w:eastAsia="微软雅黑"/>
                <w:sz w:val="18"/>
                <w:szCs w:val="18"/>
              </w:rPr>
              <w:t>42,708,180.00</w:t>
            </w:r>
          </w:p>
        </w:tc>
        <w:tc>
          <w:tcPr>
            <w:tcW w:w="1442" w:type="dxa"/>
            <w:tcBorders>
              <w:top w:val="nil"/>
              <w:left w:val="nil"/>
              <w:bottom w:val="single" w:color="auto" w:sz="4" w:space="0"/>
              <w:right w:val="single" w:color="auto" w:sz="4" w:space="0"/>
            </w:tcBorders>
            <w:vAlign w:val="center"/>
          </w:tcPr>
          <w:p>
            <w:pPr>
              <w:spacing w:line="240" w:lineRule="auto"/>
              <w:jc w:val="right"/>
              <w:rPr>
                <w:rFonts w:ascii="Times New Roman" w:hAnsi="Times New Roman" w:eastAsia="微软雅黑"/>
                <w:sz w:val="18"/>
                <w:szCs w:val="18"/>
              </w:rPr>
            </w:pPr>
            <w:r>
              <w:rPr>
                <w:rFonts w:ascii="Times New Roman" w:hAnsi="Times New Roman" w:eastAsia="微软雅黑"/>
                <w:sz w:val="18"/>
                <w:szCs w:val="18"/>
              </w:rPr>
              <w:t>46,551,920.00</w:t>
            </w:r>
          </w:p>
        </w:tc>
        <w:tc>
          <w:tcPr>
            <w:tcW w:w="1437" w:type="dxa"/>
            <w:tcBorders>
              <w:top w:val="nil"/>
              <w:left w:val="nil"/>
              <w:bottom w:val="single" w:color="auto" w:sz="4" w:space="0"/>
              <w:right w:val="single" w:color="auto" w:sz="4" w:space="0"/>
            </w:tcBorders>
            <w:vAlign w:val="center"/>
          </w:tcPr>
          <w:p>
            <w:pPr>
              <w:spacing w:line="240" w:lineRule="auto"/>
              <w:jc w:val="right"/>
              <w:rPr>
                <w:rFonts w:ascii="Times New Roman" w:hAnsi="Times New Roman" w:eastAsia="微软雅黑"/>
                <w:sz w:val="18"/>
                <w:szCs w:val="18"/>
              </w:rPr>
            </w:pPr>
            <w:r>
              <w:rPr>
                <w:rFonts w:ascii="Times New Roman" w:hAnsi="Times New Roman" w:eastAsia="微软雅黑"/>
                <w:sz w:val="18"/>
                <w:szCs w:val="18"/>
              </w:rPr>
              <w:t>50,276,080.00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957" w:type="dxa"/>
            <w:tcBorders>
              <w:top w:val="nil"/>
              <w:left w:val="single" w:color="auto" w:sz="4" w:space="0"/>
              <w:bottom w:val="single" w:color="auto" w:sz="4" w:space="0"/>
              <w:right w:val="single" w:color="auto" w:sz="4" w:space="0"/>
            </w:tcBorders>
            <w:vAlign w:val="center"/>
          </w:tcPr>
          <w:p>
            <w:pPr>
              <w:spacing w:line="240" w:lineRule="auto"/>
              <w:jc w:val="center"/>
              <w:rPr>
                <w:rFonts w:ascii="Times New Roman" w:hAnsi="Times New Roman" w:eastAsia="宋体"/>
                <w:sz w:val="18"/>
                <w:szCs w:val="18"/>
              </w:rPr>
            </w:pPr>
            <w:r>
              <w:rPr>
                <w:rFonts w:ascii="Times New Roman" w:hAnsi="Times New Roman" w:eastAsia="宋体"/>
                <w:sz w:val="18"/>
                <w:szCs w:val="18"/>
              </w:rPr>
              <w:t>准备金率</w:t>
            </w:r>
          </w:p>
        </w:tc>
        <w:tc>
          <w:tcPr>
            <w:tcW w:w="1442" w:type="dxa"/>
            <w:tcBorders>
              <w:top w:val="nil"/>
              <w:left w:val="nil"/>
              <w:bottom w:val="single" w:color="auto" w:sz="4" w:space="0"/>
              <w:right w:val="single" w:color="auto" w:sz="4" w:space="0"/>
            </w:tcBorders>
            <w:vAlign w:val="center"/>
          </w:tcPr>
          <w:p>
            <w:pPr>
              <w:spacing w:line="240" w:lineRule="auto"/>
              <w:jc w:val="right"/>
              <w:rPr>
                <w:rFonts w:ascii="Times New Roman" w:hAnsi="Times New Roman" w:eastAsia="微软雅黑"/>
                <w:sz w:val="18"/>
                <w:szCs w:val="18"/>
              </w:rPr>
            </w:pPr>
            <w:r>
              <w:rPr>
                <w:rFonts w:ascii="Times New Roman" w:hAnsi="Times New Roman" w:eastAsia="微软雅黑"/>
                <w:sz w:val="18"/>
                <w:szCs w:val="18"/>
              </w:rPr>
              <w:t>20.00%</w:t>
            </w:r>
          </w:p>
        </w:tc>
        <w:tc>
          <w:tcPr>
            <w:tcW w:w="1442" w:type="dxa"/>
            <w:tcBorders>
              <w:top w:val="nil"/>
              <w:left w:val="nil"/>
              <w:bottom w:val="single" w:color="auto" w:sz="4" w:space="0"/>
              <w:right w:val="single" w:color="auto" w:sz="4" w:space="0"/>
            </w:tcBorders>
            <w:vAlign w:val="center"/>
          </w:tcPr>
          <w:p>
            <w:pPr>
              <w:spacing w:line="240" w:lineRule="auto"/>
              <w:jc w:val="right"/>
              <w:rPr>
                <w:rFonts w:ascii="Times New Roman" w:hAnsi="Times New Roman" w:eastAsia="微软雅黑"/>
                <w:sz w:val="18"/>
                <w:szCs w:val="18"/>
              </w:rPr>
            </w:pPr>
            <w:r>
              <w:rPr>
                <w:rFonts w:ascii="Times New Roman" w:hAnsi="Times New Roman" w:eastAsia="微软雅黑"/>
                <w:sz w:val="18"/>
                <w:szCs w:val="18"/>
              </w:rPr>
              <w:t>20.00%</w:t>
            </w:r>
          </w:p>
        </w:tc>
        <w:tc>
          <w:tcPr>
            <w:tcW w:w="1442" w:type="dxa"/>
            <w:tcBorders>
              <w:top w:val="nil"/>
              <w:left w:val="nil"/>
              <w:bottom w:val="single" w:color="auto" w:sz="4" w:space="0"/>
              <w:right w:val="single" w:color="auto" w:sz="4" w:space="0"/>
            </w:tcBorders>
            <w:vAlign w:val="center"/>
          </w:tcPr>
          <w:p>
            <w:pPr>
              <w:spacing w:line="240" w:lineRule="auto"/>
              <w:jc w:val="right"/>
              <w:rPr>
                <w:rFonts w:ascii="Times New Roman" w:hAnsi="Times New Roman" w:eastAsia="微软雅黑"/>
                <w:sz w:val="18"/>
                <w:szCs w:val="18"/>
              </w:rPr>
            </w:pPr>
            <w:r>
              <w:rPr>
                <w:rFonts w:ascii="Times New Roman" w:hAnsi="Times New Roman" w:eastAsia="微软雅黑"/>
                <w:sz w:val="18"/>
                <w:szCs w:val="18"/>
              </w:rPr>
              <w:t>20.00%</w:t>
            </w:r>
          </w:p>
        </w:tc>
        <w:tc>
          <w:tcPr>
            <w:tcW w:w="1442" w:type="dxa"/>
            <w:tcBorders>
              <w:top w:val="nil"/>
              <w:left w:val="nil"/>
              <w:bottom w:val="single" w:color="auto" w:sz="4" w:space="0"/>
              <w:right w:val="single" w:color="auto" w:sz="4" w:space="0"/>
            </w:tcBorders>
            <w:vAlign w:val="center"/>
          </w:tcPr>
          <w:p>
            <w:pPr>
              <w:spacing w:line="240" w:lineRule="auto"/>
              <w:jc w:val="right"/>
              <w:rPr>
                <w:rFonts w:ascii="Times New Roman" w:hAnsi="Times New Roman" w:eastAsia="微软雅黑"/>
                <w:sz w:val="18"/>
                <w:szCs w:val="18"/>
              </w:rPr>
            </w:pPr>
            <w:r>
              <w:rPr>
                <w:rFonts w:ascii="Times New Roman" w:hAnsi="Times New Roman" w:eastAsia="微软雅黑"/>
                <w:sz w:val="18"/>
                <w:szCs w:val="18"/>
              </w:rPr>
              <w:t>20.00%</w:t>
            </w:r>
          </w:p>
        </w:tc>
        <w:tc>
          <w:tcPr>
            <w:tcW w:w="1437" w:type="dxa"/>
            <w:tcBorders>
              <w:top w:val="nil"/>
              <w:left w:val="nil"/>
              <w:bottom w:val="single" w:color="auto" w:sz="4" w:space="0"/>
              <w:right w:val="single" w:color="auto" w:sz="4" w:space="0"/>
            </w:tcBorders>
            <w:vAlign w:val="center"/>
          </w:tcPr>
          <w:p>
            <w:pPr>
              <w:spacing w:line="240" w:lineRule="auto"/>
              <w:jc w:val="right"/>
              <w:rPr>
                <w:rFonts w:ascii="Times New Roman" w:hAnsi="Times New Roman" w:eastAsia="微软雅黑"/>
                <w:sz w:val="18"/>
                <w:szCs w:val="18"/>
              </w:rPr>
            </w:pPr>
            <w:r>
              <w:rPr>
                <w:rFonts w:ascii="Times New Roman" w:hAnsi="Times New Roman" w:eastAsia="微软雅黑"/>
                <w:sz w:val="18"/>
                <w:szCs w:val="18"/>
              </w:rPr>
              <w:t>20.00%</w:t>
            </w:r>
          </w:p>
        </w:tc>
      </w:tr>
    </w:tbl>
    <w:p>
      <w:pPr>
        <w:spacing w:line="360" w:lineRule="auto"/>
        <w:ind w:firstLine="584" w:firstLineChars="200"/>
        <w:rPr>
          <w:rFonts w:ascii="Times New Roman" w:hAnsi="Times New Roman"/>
          <w:sz w:val="28"/>
        </w:rPr>
      </w:pPr>
    </w:p>
    <w:p>
      <w:pPr>
        <w:spacing w:line="360" w:lineRule="auto"/>
        <w:ind w:firstLine="584" w:firstLineChars="200"/>
        <w:rPr>
          <w:rFonts w:ascii="Times New Roman" w:hAnsi="Times New Roman"/>
          <w:sz w:val="28"/>
        </w:rPr>
      </w:pPr>
      <w:r>
        <w:rPr>
          <w:rFonts w:ascii="Times New Roman" w:hAnsi="Times New Roman"/>
          <w:sz w:val="28"/>
        </w:rPr>
        <w:t>存放同业及其他金融机构款项根据历史年度存放同业款项占资产总额的比重及企业规划进行预测。</w:t>
      </w:r>
    </w:p>
    <w:p>
      <w:pPr>
        <w:spacing w:line="360" w:lineRule="auto"/>
        <w:ind w:firstLine="584" w:firstLineChars="200"/>
        <w:rPr>
          <w:rFonts w:ascii="Times New Roman" w:hAnsi="Times New Roman"/>
          <w:sz w:val="28"/>
        </w:rPr>
      </w:pPr>
      <w:r>
        <w:rPr>
          <w:rFonts w:ascii="Times New Roman" w:hAnsi="Times New Roman"/>
          <w:sz w:val="28"/>
        </w:rPr>
        <w:t>4</w:t>
      </w:r>
      <w:r>
        <w:rPr>
          <w:rFonts w:hint="eastAsia" w:ascii="Times New Roman" w:hAnsi="Times New Roman"/>
          <w:sz w:val="28"/>
        </w:rPr>
        <w:t>．</w:t>
      </w:r>
      <w:r>
        <w:rPr>
          <w:rFonts w:ascii="Times New Roman" w:hAnsi="Times New Roman"/>
          <w:sz w:val="28"/>
        </w:rPr>
        <w:t>应付债券规模预测</w:t>
      </w:r>
    </w:p>
    <w:p>
      <w:pPr>
        <w:spacing w:line="360" w:lineRule="auto"/>
        <w:ind w:firstLine="584" w:firstLineChars="200"/>
        <w:rPr>
          <w:rFonts w:ascii="Times New Roman" w:hAnsi="Times New Roman"/>
          <w:sz w:val="28"/>
        </w:rPr>
      </w:pPr>
      <w:r>
        <w:rPr>
          <w:rFonts w:ascii="Times New Roman" w:hAnsi="Times New Roman"/>
          <w:sz w:val="28"/>
        </w:rPr>
        <w:t>截至评估基准日，xx银行账面应付债券次级债和一般金融债，次级债的账面值为97亿元，一般金融债为325.47亿元。其中 20</w:t>
      </w:r>
      <w:r>
        <w:rPr>
          <w:rFonts w:hint="eastAsia" w:ascii="Times New Roman" w:hAnsi="Times New Roman"/>
          <w:sz w:val="28"/>
        </w:rPr>
        <w:t>y</w:t>
      </w:r>
      <w:r>
        <w:rPr>
          <w:rFonts w:ascii="Times New Roman" w:hAnsi="Times New Roman"/>
          <w:sz w:val="28"/>
        </w:rPr>
        <w:t>9年第一期次级债券30亿元已在20x4年2月赎回。20x4年6月9日xx银行已成功发行162亿次级债，利率为6.2%。</w:t>
      </w:r>
    </w:p>
    <w:p>
      <w:pPr>
        <w:spacing w:line="360" w:lineRule="auto"/>
        <w:ind w:firstLine="584" w:firstLineChars="200"/>
        <w:rPr>
          <w:rFonts w:ascii="Times New Roman" w:hAnsi="Times New Roman"/>
          <w:sz w:val="28"/>
        </w:rPr>
      </w:pPr>
      <w:r>
        <w:rPr>
          <w:rFonts w:ascii="Times New Roman" w:hAnsi="Times New Roman"/>
          <w:sz w:val="28"/>
        </w:rPr>
        <w:t>本次评估假设xx企业在预测期应付债券规模不变，到期后以同样的利率重新发行。</w:t>
      </w:r>
    </w:p>
    <w:p>
      <w:pPr>
        <w:spacing w:line="360" w:lineRule="auto"/>
        <w:ind w:firstLine="584" w:firstLineChars="200"/>
        <w:rPr>
          <w:rFonts w:ascii="Times New Roman" w:hAnsi="Times New Roman"/>
          <w:sz w:val="28"/>
        </w:rPr>
      </w:pPr>
      <w:r>
        <w:rPr>
          <w:rFonts w:ascii="Times New Roman" w:hAnsi="Times New Roman"/>
          <w:sz w:val="28"/>
        </w:rPr>
        <w:t>5</w:t>
      </w:r>
      <w:r>
        <w:rPr>
          <w:rFonts w:hint="eastAsia" w:ascii="Times New Roman" w:hAnsi="Times New Roman"/>
          <w:sz w:val="28"/>
        </w:rPr>
        <w:t>．</w:t>
      </w:r>
      <w:r>
        <w:rPr>
          <w:rFonts w:ascii="Times New Roman" w:hAnsi="Times New Roman"/>
          <w:sz w:val="28"/>
        </w:rPr>
        <w:t>其他资产、负债科目预测</w:t>
      </w:r>
    </w:p>
    <w:p>
      <w:pPr>
        <w:spacing w:line="360" w:lineRule="auto"/>
        <w:ind w:firstLine="584" w:firstLineChars="200"/>
        <w:rPr>
          <w:rFonts w:ascii="Times New Roman" w:hAnsi="Times New Roman"/>
          <w:sz w:val="28"/>
        </w:rPr>
      </w:pPr>
      <w:r>
        <w:rPr>
          <w:rFonts w:ascii="Times New Roman" w:hAnsi="Times New Roman"/>
          <w:sz w:val="28"/>
        </w:rPr>
        <w:t>其他资产科目根据历史期的水平预测，若无明确资本性支出计划，一般认为保持评估基准日水平不变。</w:t>
      </w:r>
    </w:p>
    <w:p>
      <w:pPr>
        <w:spacing w:line="360" w:lineRule="auto"/>
        <w:ind w:firstLine="584" w:firstLineChars="200"/>
        <w:rPr>
          <w:rFonts w:ascii="Times New Roman" w:hAnsi="Times New Roman"/>
          <w:sz w:val="28"/>
        </w:rPr>
      </w:pPr>
      <w:r>
        <w:rPr>
          <w:rFonts w:ascii="Times New Roman" w:hAnsi="Times New Roman"/>
          <w:sz w:val="28"/>
        </w:rPr>
        <w:t>对xx银行资产负债预测如下表所示。</w:t>
      </w:r>
    </w:p>
    <w:p>
      <w:pPr>
        <w:spacing w:line="360" w:lineRule="auto"/>
        <w:ind w:firstLine="584" w:firstLineChars="200"/>
        <w:rPr>
          <w:rFonts w:ascii="Times New Roman" w:hAnsi="Times New Roman"/>
          <w:sz w:val="28"/>
        </w:rPr>
      </w:pPr>
    </w:p>
    <w:tbl>
      <w:tblPr>
        <w:tblStyle w:val="27"/>
        <w:tblW w:w="91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68"/>
        <w:gridCol w:w="1458"/>
        <w:gridCol w:w="1459"/>
        <w:gridCol w:w="1459"/>
        <w:gridCol w:w="1459"/>
        <w:gridCol w:w="14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blHeader/>
        </w:trPr>
        <w:tc>
          <w:tcPr>
            <w:tcW w:w="1868" w:type="dxa"/>
            <w:tcBorders>
              <w:top w:val="single" w:color="auto" w:sz="8" w:space="0"/>
              <w:left w:val="single" w:color="auto" w:sz="8" w:space="0"/>
              <w:bottom w:val="single" w:color="auto" w:sz="4" w:space="0"/>
              <w:right w:val="single" w:color="auto" w:sz="4" w:space="0"/>
            </w:tcBorders>
            <w:vAlign w:val="center"/>
          </w:tcPr>
          <w:p>
            <w:pPr>
              <w:widowControl/>
              <w:spacing w:line="240" w:lineRule="auto"/>
              <w:jc w:val="center"/>
              <w:rPr>
                <w:rFonts w:ascii="Times New Roman" w:hAnsi="Times New Roman" w:eastAsia="宋体"/>
                <w:b/>
                <w:spacing w:val="0"/>
                <w:kern w:val="0"/>
                <w:sz w:val="18"/>
                <w:szCs w:val="18"/>
              </w:rPr>
            </w:pPr>
            <w:r>
              <w:rPr>
                <w:rFonts w:ascii="Times New Roman" w:hAnsi="Times New Roman" w:eastAsia="宋体"/>
                <w:b/>
                <w:spacing w:val="0"/>
                <w:kern w:val="0"/>
                <w:sz w:val="18"/>
                <w:szCs w:val="18"/>
              </w:rPr>
              <w:t>项目名称</w:t>
            </w:r>
          </w:p>
        </w:tc>
        <w:tc>
          <w:tcPr>
            <w:tcW w:w="1458" w:type="dxa"/>
            <w:tcBorders>
              <w:top w:val="single" w:color="auto" w:sz="8" w:space="0"/>
              <w:left w:val="nil"/>
              <w:bottom w:val="single" w:color="auto" w:sz="4" w:space="0"/>
              <w:right w:val="single" w:color="auto" w:sz="4" w:space="0"/>
            </w:tcBorders>
            <w:vAlign w:val="center"/>
          </w:tcPr>
          <w:p>
            <w:pPr>
              <w:widowControl/>
              <w:spacing w:line="240" w:lineRule="auto"/>
              <w:jc w:val="center"/>
              <w:rPr>
                <w:rFonts w:ascii="Times New Roman" w:hAnsi="Times New Roman" w:eastAsia="宋体"/>
                <w:b/>
                <w:spacing w:val="0"/>
                <w:kern w:val="0"/>
                <w:sz w:val="18"/>
                <w:szCs w:val="18"/>
              </w:rPr>
            </w:pPr>
            <w:r>
              <w:rPr>
                <w:rFonts w:ascii="Times New Roman" w:hAnsi="Times New Roman" w:eastAsia="宋体"/>
                <w:b/>
                <w:spacing w:val="0"/>
                <w:kern w:val="0"/>
                <w:sz w:val="18"/>
                <w:szCs w:val="18"/>
              </w:rPr>
              <w:t>20</w:t>
            </w:r>
            <w:r>
              <w:rPr>
                <w:rFonts w:hint="eastAsia" w:ascii="Times New Roman" w:hAnsi="Times New Roman" w:eastAsia="宋体"/>
                <w:b/>
                <w:spacing w:val="0"/>
                <w:kern w:val="0"/>
                <w:sz w:val="18"/>
                <w:szCs w:val="18"/>
              </w:rPr>
              <w:t>x</w:t>
            </w:r>
            <w:r>
              <w:rPr>
                <w:rFonts w:ascii="Times New Roman" w:hAnsi="Times New Roman" w:eastAsia="宋体"/>
                <w:b/>
                <w:spacing w:val="0"/>
                <w:kern w:val="0"/>
                <w:sz w:val="18"/>
                <w:szCs w:val="18"/>
              </w:rPr>
              <w:t>4年</w:t>
            </w:r>
          </w:p>
        </w:tc>
        <w:tc>
          <w:tcPr>
            <w:tcW w:w="1459" w:type="dxa"/>
            <w:tcBorders>
              <w:top w:val="single" w:color="auto" w:sz="8" w:space="0"/>
              <w:left w:val="nil"/>
              <w:bottom w:val="single" w:color="auto" w:sz="4" w:space="0"/>
              <w:right w:val="single" w:color="auto" w:sz="4" w:space="0"/>
            </w:tcBorders>
            <w:vAlign w:val="center"/>
          </w:tcPr>
          <w:p>
            <w:pPr>
              <w:widowControl/>
              <w:spacing w:line="240" w:lineRule="auto"/>
              <w:jc w:val="center"/>
              <w:rPr>
                <w:rFonts w:ascii="Times New Roman" w:hAnsi="Times New Roman" w:eastAsia="宋体"/>
                <w:b/>
                <w:spacing w:val="0"/>
                <w:kern w:val="0"/>
                <w:sz w:val="18"/>
                <w:szCs w:val="18"/>
              </w:rPr>
            </w:pPr>
            <w:r>
              <w:rPr>
                <w:rFonts w:ascii="Times New Roman" w:hAnsi="Times New Roman" w:eastAsia="宋体"/>
                <w:b/>
                <w:spacing w:val="0"/>
                <w:kern w:val="0"/>
                <w:sz w:val="18"/>
                <w:szCs w:val="18"/>
              </w:rPr>
              <w:t>20</w:t>
            </w:r>
            <w:r>
              <w:rPr>
                <w:rFonts w:hint="eastAsia" w:ascii="Times New Roman" w:hAnsi="Times New Roman" w:eastAsia="宋体"/>
                <w:b/>
                <w:spacing w:val="0"/>
                <w:kern w:val="0"/>
                <w:sz w:val="18"/>
                <w:szCs w:val="18"/>
              </w:rPr>
              <w:t>x</w:t>
            </w:r>
            <w:r>
              <w:rPr>
                <w:rFonts w:ascii="Times New Roman" w:hAnsi="Times New Roman" w:eastAsia="宋体"/>
                <w:b/>
                <w:spacing w:val="0"/>
                <w:kern w:val="0"/>
                <w:sz w:val="18"/>
                <w:szCs w:val="18"/>
              </w:rPr>
              <w:t>5年</w:t>
            </w:r>
          </w:p>
        </w:tc>
        <w:tc>
          <w:tcPr>
            <w:tcW w:w="1459" w:type="dxa"/>
            <w:tcBorders>
              <w:top w:val="single" w:color="auto" w:sz="8" w:space="0"/>
              <w:left w:val="nil"/>
              <w:bottom w:val="single" w:color="auto" w:sz="4" w:space="0"/>
              <w:right w:val="single" w:color="auto" w:sz="4" w:space="0"/>
            </w:tcBorders>
            <w:vAlign w:val="center"/>
          </w:tcPr>
          <w:p>
            <w:pPr>
              <w:widowControl/>
              <w:spacing w:line="240" w:lineRule="auto"/>
              <w:jc w:val="center"/>
              <w:rPr>
                <w:rFonts w:ascii="Times New Roman" w:hAnsi="Times New Roman" w:eastAsia="宋体"/>
                <w:b/>
                <w:spacing w:val="0"/>
                <w:kern w:val="0"/>
                <w:sz w:val="18"/>
                <w:szCs w:val="18"/>
              </w:rPr>
            </w:pPr>
            <w:r>
              <w:rPr>
                <w:rFonts w:ascii="Times New Roman" w:hAnsi="Times New Roman" w:eastAsia="宋体"/>
                <w:b/>
                <w:spacing w:val="0"/>
                <w:kern w:val="0"/>
                <w:sz w:val="18"/>
                <w:szCs w:val="18"/>
              </w:rPr>
              <w:t>20</w:t>
            </w:r>
            <w:r>
              <w:rPr>
                <w:rFonts w:hint="eastAsia" w:ascii="Times New Roman" w:hAnsi="Times New Roman" w:eastAsia="宋体"/>
                <w:b/>
                <w:spacing w:val="0"/>
                <w:kern w:val="0"/>
                <w:sz w:val="18"/>
                <w:szCs w:val="18"/>
              </w:rPr>
              <w:t>x</w:t>
            </w:r>
            <w:r>
              <w:rPr>
                <w:rFonts w:ascii="Times New Roman" w:hAnsi="Times New Roman" w:eastAsia="宋体"/>
                <w:b/>
                <w:spacing w:val="0"/>
                <w:kern w:val="0"/>
                <w:sz w:val="18"/>
                <w:szCs w:val="18"/>
              </w:rPr>
              <w:t>6年</w:t>
            </w:r>
          </w:p>
        </w:tc>
        <w:tc>
          <w:tcPr>
            <w:tcW w:w="1459" w:type="dxa"/>
            <w:tcBorders>
              <w:top w:val="single" w:color="auto" w:sz="8" w:space="0"/>
              <w:left w:val="nil"/>
              <w:bottom w:val="single" w:color="auto" w:sz="4" w:space="0"/>
              <w:right w:val="single" w:color="auto" w:sz="4" w:space="0"/>
            </w:tcBorders>
            <w:vAlign w:val="center"/>
          </w:tcPr>
          <w:p>
            <w:pPr>
              <w:widowControl/>
              <w:spacing w:line="240" w:lineRule="auto"/>
              <w:jc w:val="center"/>
              <w:rPr>
                <w:rFonts w:ascii="Times New Roman" w:hAnsi="Times New Roman" w:eastAsia="宋体"/>
                <w:b/>
                <w:spacing w:val="0"/>
                <w:kern w:val="0"/>
                <w:sz w:val="18"/>
                <w:szCs w:val="18"/>
              </w:rPr>
            </w:pPr>
            <w:r>
              <w:rPr>
                <w:rFonts w:ascii="Times New Roman" w:hAnsi="Times New Roman" w:eastAsia="宋体"/>
                <w:b/>
                <w:spacing w:val="0"/>
                <w:kern w:val="0"/>
                <w:sz w:val="18"/>
                <w:szCs w:val="18"/>
              </w:rPr>
              <w:t>20</w:t>
            </w:r>
            <w:r>
              <w:rPr>
                <w:rFonts w:hint="eastAsia" w:ascii="Times New Roman" w:hAnsi="Times New Roman" w:eastAsia="宋体"/>
                <w:b/>
                <w:spacing w:val="0"/>
                <w:kern w:val="0"/>
                <w:sz w:val="18"/>
                <w:szCs w:val="18"/>
              </w:rPr>
              <w:t>x</w:t>
            </w:r>
            <w:r>
              <w:rPr>
                <w:rFonts w:ascii="Times New Roman" w:hAnsi="Times New Roman" w:eastAsia="宋体"/>
                <w:b/>
                <w:spacing w:val="0"/>
                <w:kern w:val="0"/>
                <w:sz w:val="18"/>
                <w:szCs w:val="18"/>
              </w:rPr>
              <w:t>7年</w:t>
            </w:r>
          </w:p>
        </w:tc>
        <w:tc>
          <w:tcPr>
            <w:tcW w:w="1459" w:type="dxa"/>
            <w:tcBorders>
              <w:top w:val="single" w:color="auto" w:sz="8" w:space="0"/>
              <w:left w:val="nil"/>
              <w:bottom w:val="single" w:color="auto" w:sz="4" w:space="0"/>
              <w:right w:val="single" w:color="auto" w:sz="8" w:space="0"/>
            </w:tcBorders>
            <w:vAlign w:val="center"/>
          </w:tcPr>
          <w:p>
            <w:pPr>
              <w:widowControl/>
              <w:spacing w:line="240" w:lineRule="auto"/>
              <w:jc w:val="center"/>
              <w:rPr>
                <w:rFonts w:ascii="Times New Roman" w:hAnsi="Times New Roman" w:eastAsia="宋体"/>
                <w:b/>
                <w:spacing w:val="0"/>
                <w:kern w:val="0"/>
                <w:sz w:val="18"/>
                <w:szCs w:val="18"/>
              </w:rPr>
            </w:pPr>
            <w:r>
              <w:rPr>
                <w:rFonts w:ascii="Times New Roman" w:hAnsi="Times New Roman" w:eastAsia="宋体"/>
                <w:b/>
                <w:spacing w:val="0"/>
                <w:kern w:val="0"/>
                <w:sz w:val="18"/>
                <w:szCs w:val="18"/>
              </w:rPr>
              <w:t>20</w:t>
            </w:r>
            <w:r>
              <w:rPr>
                <w:rFonts w:hint="eastAsia" w:ascii="Times New Roman" w:hAnsi="Times New Roman" w:eastAsia="宋体"/>
                <w:b/>
                <w:spacing w:val="0"/>
                <w:kern w:val="0"/>
                <w:sz w:val="18"/>
                <w:szCs w:val="18"/>
              </w:rPr>
              <w:t>x</w:t>
            </w:r>
            <w:r>
              <w:rPr>
                <w:rFonts w:ascii="Times New Roman" w:hAnsi="Times New Roman" w:eastAsia="宋体"/>
                <w:b/>
                <w:spacing w:val="0"/>
                <w:kern w:val="0"/>
                <w:sz w:val="18"/>
                <w:szCs w:val="18"/>
              </w:rPr>
              <w:t>8年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868" w:type="dxa"/>
            <w:tcBorders>
              <w:top w:val="nil"/>
              <w:left w:val="single" w:color="auto" w:sz="8" w:space="0"/>
              <w:bottom w:val="single" w:color="auto" w:sz="4" w:space="0"/>
              <w:right w:val="single" w:color="auto" w:sz="4" w:space="0"/>
            </w:tcBorders>
            <w:vAlign w:val="center"/>
          </w:tcPr>
          <w:p>
            <w:pPr>
              <w:widowControl/>
              <w:spacing w:line="240" w:lineRule="auto"/>
              <w:jc w:val="left"/>
              <w:rPr>
                <w:rFonts w:ascii="Times New Roman" w:hAnsi="Times New Roman" w:eastAsia="宋体"/>
                <w:spacing w:val="0"/>
                <w:kern w:val="0"/>
                <w:sz w:val="18"/>
                <w:szCs w:val="18"/>
              </w:rPr>
            </w:pPr>
            <w:r>
              <w:rPr>
                <w:rFonts w:ascii="Times New Roman" w:hAnsi="Times New Roman" w:eastAsia="宋体"/>
                <w:spacing w:val="0"/>
                <w:kern w:val="0"/>
                <w:sz w:val="18"/>
                <w:szCs w:val="18"/>
              </w:rPr>
              <w:t>资产</w:t>
            </w:r>
          </w:p>
        </w:tc>
        <w:tc>
          <w:tcPr>
            <w:tcW w:w="1458"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Times New Roman" w:hAnsi="Times New Roman" w:eastAsia="宋体"/>
                <w:spacing w:val="0"/>
                <w:kern w:val="0"/>
                <w:sz w:val="18"/>
                <w:szCs w:val="18"/>
              </w:rPr>
            </w:pPr>
          </w:p>
        </w:tc>
        <w:tc>
          <w:tcPr>
            <w:tcW w:w="1459"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Times New Roman" w:hAnsi="Times New Roman" w:eastAsia="宋体"/>
                <w:spacing w:val="0"/>
                <w:kern w:val="0"/>
                <w:sz w:val="18"/>
                <w:szCs w:val="18"/>
              </w:rPr>
            </w:pPr>
          </w:p>
        </w:tc>
        <w:tc>
          <w:tcPr>
            <w:tcW w:w="1459"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Times New Roman" w:hAnsi="Times New Roman" w:eastAsia="宋体"/>
                <w:spacing w:val="0"/>
                <w:kern w:val="0"/>
                <w:sz w:val="18"/>
                <w:szCs w:val="18"/>
              </w:rPr>
            </w:pPr>
          </w:p>
        </w:tc>
        <w:tc>
          <w:tcPr>
            <w:tcW w:w="1459"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Times New Roman" w:hAnsi="Times New Roman" w:eastAsia="宋体"/>
                <w:spacing w:val="0"/>
                <w:kern w:val="0"/>
                <w:sz w:val="18"/>
                <w:szCs w:val="18"/>
              </w:rPr>
            </w:pPr>
          </w:p>
        </w:tc>
        <w:tc>
          <w:tcPr>
            <w:tcW w:w="1459" w:type="dxa"/>
            <w:tcBorders>
              <w:top w:val="nil"/>
              <w:left w:val="single" w:color="auto" w:sz="4" w:space="0"/>
              <w:bottom w:val="single" w:color="auto" w:sz="4" w:space="0"/>
              <w:right w:val="single" w:color="auto" w:sz="8" w:space="0"/>
            </w:tcBorders>
            <w:vAlign w:val="center"/>
          </w:tcPr>
          <w:p>
            <w:pPr>
              <w:widowControl/>
              <w:spacing w:line="240" w:lineRule="auto"/>
              <w:jc w:val="center"/>
              <w:rPr>
                <w:rFonts w:ascii="Times New Roman" w:hAnsi="Times New Roman" w:eastAsia="宋体"/>
                <w:spacing w:val="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868" w:type="dxa"/>
            <w:tcBorders>
              <w:top w:val="nil"/>
              <w:left w:val="single" w:color="auto" w:sz="8" w:space="0"/>
              <w:bottom w:val="single" w:color="auto" w:sz="4" w:space="0"/>
              <w:right w:val="single" w:color="auto" w:sz="4" w:space="0"/>
            </w:tcBorders>
            <w:vAlign w:val="center"/>
          </w:tcPr>
          <w:p>
            <w:pPr>
              <w:widowControl/>
              <w:spacing w:line="240" w:lineRule="auto"/>
              <w:jc w:val="left"/>
              <w:rPr>
                <w:rFonts w:ascii="Times New Roman" w:hAnsi="Times New Roman" w:eastAsia="宋体"/>
                <w:spacing w:val="0"/>
                <w:kern w:val="0"/>
                <w:sz w:val="18"/>
                <w:szCs w:val="18"/>
              </w:rPr>
            </w:pPr>
            <w:r>
              <w:rPr>
                <w:rFonts w:ascii="Times New Roman" w:hAnsi="Times New Roman" w:eastAsia="宋体"/>
                <w:spacing w:val="0"/>
                <w:kern w:val="0"/>
                <w:sz w:val="18"/>
                <w:szCs w:val="18"/>
              </w:rPr>
              <w:t>现金及存放中央银行款项</w:t>
            </w:r>
          </w:p>
        </w:tc>
        <w:tc>
          <w:tcPr>
            <w:tcW w:w="1458"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35,296,020.00</w:t>
            </w:r>
          </w:p>
        </w:tc>
        <w:tc>
          <w:tcPr>
            <w:tcW w:w="1459"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38,825,620.00</w:t>
            </w:r>
          </w:p>
        </w:tc>
        <w:tc>
          <w:tcPr>
            <w:tcW w:w="1459"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42,708,180.00</w:t>
            </w:r>
          </w:p>
        </w:tc>
        <w:tc>
          <w:tcPr>
            <w:tcW w:w="1459"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46,551,920.00</w:t>
            </w:r>
          </w:p>
        </w:tc>
        <w:tc>
          <w:tcPr>
            <w:tcW w:w="1459" w:type="dxa"/>
            <w:tcBorders>
              <w:top w:val="nil"/>
              <w:left w:val="single" w:color="auto" w:sz="4" w:space="0"/>
              <w:bottom w:val="single" w:color="auto" w:sz="4" w:space="0"/>
              <w:right w:val="single" w:color="auto" w:sz="8"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50,276,080.00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868" w:type="dxa"/>
            <w:tcBorders>
              <w:top w:val="nil"/>
              <w:left w:val="single" w:color="auto" w:sz="8" w:space="0"/>
              <w:bottom w:val="single" w:color="auto" w:sz="4" w:space="0"/>
              <w:right w:val="single" w:color="auto" w:sz="4" w:space="0"/>
            </w:tcBorders>
            <w:vAlign w:val="center"/>
          </w:tcPr>
          <w:p>
            <w:pPr>
              <w:widowControl/>
              <w:spacing w:line="240" w:lineRule="auto"/>
              <w:jc w:val="left"/>
              <w:rPr>
                <w:rFonts w:ascii="Times New Roman" w:hAnsi="Times New Roman" w:eastAsia="宋体"/>
                <w:spacing w:val="0"/>
                <w:kern w:val="0"/>
                <w:sz w:val="18"/>
                <w:szCs w:val="18"/>
              </w:rPr>
            </w:pPr>
            <w:r>
              <w:rPr>
                <w:rFonts w:ascii="Times New Roman" w:hAnsi="Times New Roman" w:eastAsia="宋体"/>
                <w:spacing w:val="0"/>
                <w:kern w:val="0"/>
                <w:sz w:val="18"/>
                <w:szCs w:val="18"/>
              </w:rPr>
              <w:t>存放同业及其他金融机构款项</w:t>
            </w:r>
          </w:p>
        </w:tc>
        <w:tc>
          <w:tcPr>
            <w:tcW w:w="1458"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41,207,957.88</w:t>
            </w:r>
          </w:p>
        </w:tc>
        <w:tc>
          <w:tcPr>
            <w:tcW w:w="1459"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46,179,034.48</w:t>
            </w:r>
          </w:p>
        </w:tc>
        <w:tc>
          <w:tcPr>
            <w:tcW w:w="1459"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50,627,236.81</w:t>
            </w:r>
          </w:p>
        </w:tc>
        <w:tc>
          <w:tcPr>
            <w:tcW w:w="1459"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55,310,117.42</w:t>
            </w:r>
          </w:p>
        </w:tc>
        <w:tc>
          <w:tcPr>
            <w:tcW w:w="1459" w:type="dxa"/>
            <w:tcBorders>
              <w:top w:val="nil"/>
              <w:left w:val="single" w:color="auto" w:sz="4" w:space="0"/>
              <w:bottom w:val="single" w:color="auto" w:sz="4" w:space="0"/>
              <w:right w:val="single" w:color="auto" w:sz="8"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59,889,299.97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868" w:type="dxa"/>
            <w:tcBorders>
              <w:top w:val="nil"/>
              <w:left w:val="single" w:color="auto" w:sz="8" w:space="0"/>
              <w:bottom w:val="single" w:color="auto" w:sz="4" w:space="0"/>
              <w:right w:val="single" w:color="auto" w:sz="4" w:space="0"/>
            </w:tcBorders>
            <w:vAlign w:val="center"/>
          </w:tcPr>
          <w:p>
            <w:pPr>
              <w:widowControl/>
              <w:spacing w:line="240" w:lineRule="auto"/>
              <w:jc w:val="left"/>
              <w:rPr>
                <w:rFonts w:ascii="Times New Roman" w:hAnsi="Times New Roman" w:eastAsia="宋体"/>
                <w:spacing w:val="0"/>
                <w:kern w:val="0"/>
                <w:sz w:val="18"/>
                <w:szCs w:val="18"/>
              </w:rPr>
            </w:pPr>
            <w:r>
              <w:rPr>
                <w:rFonts w:ascii="Times New Roman" w:hAnsi="Times New Roman" w:eastAsia="宋体"/>
                <w:spacing w:val="0"/>
                <w:kern w:val="0"/>
                <w:sz w:val="18"/>
                <w:szCs w:val="18"/>
              </w:rPr>
              <w:t>贵金属</w:t>
            </w:r>
          </w:p>
        </w:tc>
        <w:tc>
          <w:tcPr>
            <w:tcW w:w="1458"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w:t>
            </w:r>
          </w:p>
        </w:tc>
        <w:tc>
          <w:tcPr>
            <w:tcW w:w="1459"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w:t>
            </w:r>
          </w:p>
        </w:tc>
        <w:tc>
          <w:tcPr>
            <w:tcW w:w="1459"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w:t>
            </w:r>
          </w:p>
        </w:tc>
        <w:tc>
          <w:tcPr>
            <w:tcW w:w="1459"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w:t>
            </w:r>
          </w:p>
        </w:tc>
        <w:tc>
          <w:tcPr>
            <w:tcW w:w="1459" w:type="dxa"/>
            <w:tcBorders>
              <w:top w:val="nil"/>
              <w:left w:val="single" w:color="auto" w:sz="4" w:space="0"/>
              <w:bottom w:val="single" w:color="auto" w:sz="4" w:space="0"/>
              <w:right w:val="single" w:color="auto" w:sz="8"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868" w:type="dxa"/>
            <w:tcBorders>
              <w:top w:val="nil"/>
              <w:left w:val="single" w:color="auto" w:sz="8" w:space="0"/>
              <w:bottom w:val="single" w:color="auto" w:sz="4" w:space="0"/>
              <w:right w:val="single" w:color="auto" w:sz="4" w:space="0"/>
            </w:tcBorders>
            <w:vAlign w:val="center"/>
          </w:tcPr>
          <w:p>
            <w:pPr>
              <w:widowControl/>
              <w:spacing w:line="240" w:lineRule="auto"/>
              <w:jc w:val="left"/>
              <w:rPr>
                <w:rFonts w:ascii="Times New Roman" w:hAnsi="Times New Roman" w:eastAsia="宋体"/>
                <w:spacing w:val="0"/>
                <w:kern w:val="0"/>
                <w:sz w:val="18"/>
                <w:szCs w:val="18"/>
              </w:rPr>
            </w:pPr>
            <w:r>
              <w:rPr>
                <w:rFonts w:ascii="Times New Roman" w:hAnsi="Times New Roman" w:eastAsia="宋体"/>
                <w:spacing w:val="0"/>
                <w:kern w:val="0"/>
                <w:sz w:val="18"/>
                <w:szCs w:val="18"/>
              </w:rPr>
              <w:t>拆出资金</w:t>
            </w:r>
          </w:p>
        </w:tc>
        <w:tc>
          <w:tcPr>
            <w:tcW w:w="1458"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p>
        </w:tc>
        <w:tc>
          <w:tcPr>
            <w:tcW w:w="1459"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p>
        </w:tc>
        <w:tc>
          <w:tcPr>
            <w:tcW w:w="1459"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p>
        </w:tc>
        <w:tc>
          <w:tcPr>
            <w:tcW w:w="1459"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p>
        </w:tc>
        <w:tc>
          <w:tcPr>
            <w:tcW w:w="1459" w:type="dxa"/>
            <w:tcBorders>
              <w:top w:val="nil"/>
              <w:left w:val="single" w:color="auto" w:sz="4" w:space="0"/>
              <w:bottom w:val="single" w:color="auto" w:sz="4" w:space="0"/>
              <w:right w:val="single" w:color="auto" w:sz="8" w:space="0"/>
            </w:tcBorders>
            <w:vAlign w:val="center"/>
          </w:tcPr>
          <w:p>
            <w:pPr>
              <w:widowControl/>
              <w:spacing w:line="240" w:lineRule="auto"/>
              <w:jc w:val="right"/>
              <w:rPr>
                <w:rFonts w:ascii="Times New Roman" w:hAnsi="Times New Roman" w:eastAsia="宋体"/>
                <w:spacing w:val="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868" w:type="dxa"/>
            <w:tcBorders>
              <w:top w:val="nil"/>
              <w:left w:val="single" w:color="auto" w:sz="8" w:space="0"/>
              <w:bottom w:val="single" w:color="auto" w:sz="4" w:space="0"/>
              <w:right w:val="single" w:color="auto" w:sz="4" w:space="0"/>
            </w:tcBorders>
            <w:vAlign w:val="center"/>
          </w:tcPr>
          <w:p>
            <w:pPr>
              <w:widowControl/>
              <w:spacing w:line="240" w:lineRule="auto"/>
              <w:jc w:val="left"/>
              <w:rPr>
                <w:rFonts w:ascii="Times New Roman" w:hAnsi="Times New Roman" w:eastAsia="宋体"/>
                <w:spacing w:val="0"/>
                <w:kern w:val="0"/>
                <w:sz w:val="18"/>
                <w:szCs w:val="18"/>
              </w:rPr>
            </w:pPr>
            <w:r>
              <w:rPr>
                <w:rFonts w:ascii="Times New Roman" w:hAnsi="Times New Roman" w:eastAsia="宋体"/>
                <w:spacing w:val="0"/>
                <w:kern w:val="0"/>
                <w:sz w:val="18"/>
                <w:szCs w:val="18"/>
              </w:rPr>
              <w:t>交易性金融资产</w:t>
            </w:r>
          </w:p>
        </w:tc>
        <w:tc>
          <w:tcPr>
            <w:tcW w:w="1458"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52,501,177.88</w:t>
            </w:r>
          </w:p>
        </w:tc>
        <w:tc>
          <w:tcPr>
            <w:tcW w:w="1459"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58,131,649.01</w:t>
            </w:r>
          </w:p>
        </w:tc>
        <w:tc>
          <w:tcPr>
            <w:tcW w:w="1459"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65,492,927.45</w:t>
            </w:r>
          </w:p>
        </w:tc>
        <w:tc>
          <w:tcPr>
            <w:tcW w:w="1459"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72,709,505.42</w:t>
            </w:r>
          </w:p>
        </w:tc>
        <w:tc>
          <w:tcPr>
            <w:tcW w:w="1459" w:type="dxa"/>
            <w:tcBorders>
              <w:top w:val="nil"/>
              <w:left w:val="single" w:color="auto" w:sz="4" w:space="0"/>
              <w:bottom w:val="single" w:color="auto" w:sz="4" w:space="0"/>
              <w:right w:val="single" w:color="auto" w:sz="8"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79,811,051.54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868" w:type="dxa"/>
            <w:tcBorders>
              <w:top w:val="nil"/>
              <w:left w:val="single" w:color="auto" w:sz="8" w:space="0"/>
              <w:bottom w:val="single" w:color="auto" w:sz="4" w:space="0"/>
              <w:right w:val="single" w:color="auto" w:sz="4" w:space="0"/>
            </w:tcBorders>
            <w:vAlign w:val="center"/>
          </w:tcPr>
          <w:p>
            <w:pPr>
              <w:widowControl/>
              <w:spacing w:line="240" w:lineRule="auto"/>
              <w:jc w:val="left"/>
              <w:rPr>
                <w:rFonts w:ascii="Times New Roman" w:hAnsi="Times New Roman" w:eastAsia="宋体"/>
                <w:spacing w:val="0"/>
                <w:kern w:val="0"/>
                <w:sz w:val="18"/>
                <w:szCs w:val="18"/>
              </w:rPr>
            </w:pPr>
            <w:r>
              <w:rPr>
                <w:rFonts w:ascii="Times New Roman" w:hAnsi="Times New Roman" w:eastAsia="宋体"/>
                <w:spacing w:val="0"/>
                <w:kern w:val="0"/>
                <w:sz w:val="18"/>
                <w:szCs w:val="18"/>
              </w:rPr>
              <w:t>衍生金融资产</w:t>
            </w:r>
          </w:p>
        </w:tc>
        <w:tc>
          <w:tcPr>
            <w:tcW w:w="1458"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p>
        </w:tc>
        <w:tc>
          <w:tcPr>
            <w:tcW w:w="1459"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p>
        </w:tc>
        <w:tc>
          <w:tcPr>
            <w:tcW w:w="1459"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p>
        </w:tc>
        <w:tc>
          <w:tcPr>
            <w:tcW w:w="1459"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p>
        </w:tc>
        <w:tc>
          <w:tcPr>
            <w:tcW w:w="1459" w:type="dxa"/>
            <w:tcBorders>
              <w:top w:val="nil"/>
              <w:left w:val="single" w:color="auto" w:sz="4" w:space="0"/>
              <w:bottom w:val="single" w:color="auto" w:sz="4" w:space="0"/>
              <w:right w:val="single" w:color="auto" w:sz="8" w:space="0"/>
            </w:tcBorders>
            <w:vAlign w:val="center"/>
          </w:tcPr>
          <w:p>
            <w:pPr>
              <w:widowControl/>
              <w:spacing w:line="240" w:lineRule="auto"/>
              <w:jc w:val="right"/>
              <w:rPr>
                <w:rFonts w:ascii="Times New Roman" w:hAnsi="Times New Roman" w:eastAsia="宋体"/>
                <w:spacing w:val="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868" w:type="dxa"/>
            <w:tcBorders>
              <w:top w:val="nil"/>
              <w:left w:val="single" w:color="auto" w:sz="8" w:space="0"/>
              <w:bottom w:val="single" w:color="auto" w:sz="4" w:space="0"/>
              <w:right w:val="single" w:color="auto" w:sz="4" w:space="0"/>
            </w:tcBorders>
            <w:vAlign w:val="center"/>
          </w:tcPr>
          <w:p>
            <w:pPr>
              <w:widowControl/>
              <w:spacing w:line="240" w:lineRule="auto"/>
              <w:jc w:val="left"/>
              <w:rPr>
                <w:rFonts w:ascii="Times New Roman" w:hAnsi="Times New Roman" w:eastAsia="宋体"/>
                <w:spacing w:val="0"/>
                <w:kern w:val="0"/>
                <w:sz w:val="18"/>
                <w:szCs w:val="18"/>
              </w:rPr>
            </w:pPr>
            <w:r>
              <w:rPr>
                <w:rFonts w:ascii="Times New Roman" w:hAnsi="Times New Roman" w:eastAsia="宋体"/>
                <w:spacing w:val="0"/>
                <w:kern w:val="0"/>
                <w:sz w:val="18"/>
                <w:szCs w:val="18"/>
              </w:rPr>
              <w:t>买入返售金融资产</w:t>
            </w:r>
          </w:p>
        </w:tc>
        <w:tc>
          <w:tcPr>
            <w:tcW w:w="1458"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p>
        </w:tc>
        <w:tc>
          <w:tcPr>
            <w:tcW w:w="1459"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p>
        </w:tc>
        <w:tc>
          <w:tcPr>
            <w:tcW w:w="1459"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p>
        </w:tc>
        <w:tc>
          <w:tcPr>
            <w:tcW w:w="1459"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p>
        </w:tc>
        <w:tc>
          <w:tcPr>
            <w:tcW w:w="1459" w:type="dxa"/>
            <w:tcBorders>
              <w:top w:val="nil"/>
              <w:left w:val="single" w:color="auto" w:sz="4" w:space="0"/>
              <w:bottom w:val="single" w:color="auto" w:sz="4" w:space="0"/>
              <w:right w:val="single" w:color="auto" w:sz="8" w:space="0"/>
            </w:tcBorders>
            <w:vAlign w:val="center"/>
          </w:tcPr>
          <w:p>
            <w:pPr>
              <w:widowControl/>
              <w:spacing w:line="240" w:lineRule="auto"/>
              <w:jc w:val="right"/>
              <w:rPr>
                <w:rFonts w:ascii="Times New Roman" w:hAnsi="Times New Roman" w:eastAsia="宋体"/>
                <w:spacing w:val="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868" w:type="dxa"/>
            <w:tcBorders>
              <w:top w:val="nil"/>
              <w:left w:val="single" w:color="auto" w:sz="8" w:space="0"/>
              <w:bottom w:val="single" w:color="auto" w:sz="4" w:space="0"/>
              <w:right w:val="single" w:color="auto" w:sz="4" w:space="0"/>
            </w:tcBorders>
            <w:vAlign w:val="center"/>
          </w:tcPr>
          <w:p>
            <w:pPr>
              <w:widowControl/>
              <w:spacing w:line="240" w:lineRule="auto"/>
              <w:jc w:val="left"/>
              <w:rPr>
                <w:rFonts w:ascii="Times New Roman" w:hAnsi="Times New Roman" w:eastAsia="宋体"/>
                <w:spacing w:val="0"/>
                <w:kern w:val="0"/>
                <w:sz w:val="18"/>
                <w:szCs w:val="18"/>
              </w:rPr>
            </w:pPr>
            <w:r>
              <w:rPr>
                <w:rFonts w:ascii="Times New Roman" w:hAnsi="Times New Roman" w:eastAsia="宋体"/>
                <w:spacing w:val="0"/>
                <w:kern w:val="0"/>
                <w:sz w:val="18"/>
                <w:szCs w:val="18"/>
              </w:rPr>
              <w:t>应收利息</w:t>
            </w:r>
          </w:p>
        </w:tc>
        <w:tc>
          <w:tcPr>
            <w:tcW w:w="1458"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1,295,545.02</w:t>
            </w:r>
          </w:p>
        </w:tc>
        <w:tc>
          <w:tcPr>
            <w:tcW w:w="1459"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1,295,545.02</w:t>
            </w:r>
          </w:p>
        </w:tc>
        <w:tc>
          <w:tcPr>
            <w:tcW w:w="1459"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1,295,545.02</w:t>
            </w:r>
          </w:p>
        </w:tc>
        <w:tc>
          <w:tcPr>
            <w:tcW w:w="1459"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1,295,545.02</w:t>
            </w:r>
          </w:p>
        </w:tc>
        <w:tc>
          <w:tcPr>
            <w:tcW w:w="1459" w:type="dxa"/>
            <w:tcBorders>
              <w:top w:val="nil"/>
              <w:left w:val="single" w:color="auto" w:sz="4" w:space="0"/>
              <w:bottom w:val="single" w:color="auto" w:sz="4" w:space="0"/>
              <w:right w:val="single" w:color="auto" w:sz="8"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1,295,545.02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868" w:type="dxa"/>
            <w:tcBorders>
              <w:top w:val="nil"/>
              <w:left w:val="single" w:color="auto" w:sz="8" w:space="0"/>
              <w:bottom w:val="single" w:color="auto" w:sz="4" w:space="0"/>
              <w:right w:val="single" w:color="auto" w:sz="4" w:space="0"/>
            </w:tcBorders>
            <w:vAlign w:val="center"/>
          </w:tcPr>
          <w:p>
            <w:pPr>
              <w:widowControl/>
              <w:spacing w:line="240" w:lineRule="auto"/>
              <w:jc w:val="left"/>
              <w:rPr>
                <w:rFonts w:ascii="Times New Roman" w:hAnsi="Times New Roman" w:eastAsia="宋体"/>
                <w:spacing w:val="0"/>
                <w:kern w:val="0"/>
                <w:sz w:val="18"/>
                <w:szCs w:val="18"/>
              </w:rPr>
            </w:pPr>
            <w:r>
              <w:rPr>
                <w:rFonts w:ascii="Times New Roman" w:hAnsi="Times New Roman" w:eastAsia="宋体"/>
                <w:spacing w:val="0"/>
                <w:kern w:val="0"/>
                <w:sz w:val="18"/>
                <w:szCs w:val="18"/>
              </w:rPr>
              <w:t>发放贷款和垫款</w:t>
            </w:r>
          </w:p>
        </w:tc>
        <w:tc>
          <w:tcPr>
            <w:tcW w:w="1458"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125,583,239.16</w:t>
            </w:r>
          </w:p>
        </w:tc>
        <w:tc>
          <w:tcPr>
            <w:tcW w:w="1459"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138,141,555.96</w:t>
            </w:r>
          </w:p>
        </w:tc>
        <w:tc>
          <w:tcPr>
            <w:tcW w:w="1459"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151,955,704.44</w:t>
            </w:r>
          </w:p>
        </w:tc>
        <w:tc>
          <w:tcPr>
            <w:tcW w:w="1459"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165,631,731.36</w:t>
            </w:r>
          </w:p>
        </w:tc>
        <w:tc>
          <w:tcPr>
            <w:tcW w:w="1459" w:type="dxa"/>
            <w:tcBorders>
              <w:top w:val="nil"/>
              <w:left w:val="single" w:color="auto" w:sz="4" w:space="0"/>
              <w:bottom w:val="single" w:color="auto" w:sz="4" w:space="0"/>
              <w:right w:val="single" w:color="auto" w:sz="8"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178,882,292.64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868" w:type="dxa"/>
            <w:tcBorders>
              <w:top w:val="nil"/>
              <w:left w:val="single" w:color="auto" w:sz="8" w:space="0"/>
              <w:bottom w:val="single" w:color="auto" w:sz="4" w:space="0"/>
              <w:right w:val="single" w:color="auto" w:sz="4" w:space="0"/>
            </w:tcBorders>
            <w:vAlign w:val="center"/>
          </w:tcPr>
          <w:p>
            <w:pPr>
              <w:widowControl/>
              <w:spacing w:line="240" w:lineRule="auto"/>
              <w:jc w:val="left"/>
              <w:rPr>
                <w:rFonts w:ascii="Times New Roman" w:hAnsi="Times New Roman" w:eastAsia="宋体"/>
                <w:spacing w:val="0"/>
                <w:kern w:val="0"/>
                <w:sz w:val="18"/>
                <w:szCs w:val="18"/>
              </w:rPr>
            </w:pPr>
            <w:r>
              <w:rPr>
                <w:rFonts w:ascii="Times New Roman" w:hAnsi="Times New Roman" w:eastAsia="宋体"/>
                <w:spacing w:val="0"/>
                <w:kern w:val="0"/>
                <w:sz w:val="18"/>
                <w:szCs w:val="18"/>
              </w:rPr>
              <w:t>代理业务资产</w:t>
            </w:r>
          </w:p>
        </w:tc>
        <w:tc>
          <w:tcPr>
            <w:tcW w:w="1458"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p>
        </w:tc>
        <w:tc>
          <w:tcPr>
            <w:tcW w:w="1459"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p>
        </w:tc>
        <w:tc>
          <w:tcPr>
            <w:tcW w:w="1459"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p>
        </w:tc>
        <w:tc>
          <w:tcPr>
            <w:tcW w:w="1459"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p>
        </w:tc>
        <w:tc>
          <w:tcPr>
            <w:tcW w:w="1459" w:type="dxa"/>
            <w:tcBorders>
              <w:top w:val="nil"/>
              <w:left w:val="single" w:color="auto" w:sz="4" w:space="0"/>
              <w:bottom w:val="single" w:color="auto" w:sz="4" w:space="0"/>
              <w:right w:val="single" w:color="auto" w:sz="8" w:space="0"/>
            </w:tcBorders>
            <w:vAlign w:val="center"/>
          </w:tcPr>
          <w:p>
            <w:pPr>
              <w:widowControl/>
              <w:spacing w:line="240" w:lineRule="auto"/>
              <w:jc w:val="right"/>
              <w:rPr>
                <w:rFonts w:ascii="Times New Roman" w:hAnsi="Times New Roman" w:eastAsia="宋体"/>
                <w:spacing w:val="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868" w:type="dxa"/>
            <w:tcBorders>
              <w:top w:val="nil"/>
              <w:left w:val="single" w:color="auto" w:sz="8" w:space="0"/>
              <w:bottom w:val="single" w:color="auto" w:sz="4" w:space="0"/>
              <w:right w:val="single" w:color="auto" w:sz="4" w:space="0"/>
            </w:tcBorders>
            <w:vAlign w:val="center"/>
          </w:tcPr>
          <w:p>
            <w:pPr>
              <w:widowControl/>
              <w:spacing w:line="240" w:lineRule="auto"/>
              <w:jc w:val="left"/>
              <w:rPr>
                <w:rFonts w:ascii="Times New Roman" w:hAnsi="Times New Roman" w:eastAsia="宋体"/>
                <w:spacing w:val="0"/>
                <w:kern w:val="0"/>
                <w:sz w:val="18"/>
                <w:szCs w:val="18"/>
              </w:rPr>
            </w:pPr>
            <w:r>
              <w:rPr>
                <w:rFonts w:ascii="Times New Roman" w:hAnsi="Times New Roman" w:eastAsia="宋体"/>
                <w:spacing w:val="0"/>
                <w:kern w:val="0"/>
                <w:sz w:val="18"/>
                <w:szCs w:val="18"/>
              </w:rPr>
              <w:t>可供出售金融资产</w:t>
            </w:r>
          </w:p>
        </w:tc>
        <w:tc>
          <w:tcPr>
            <w:tcW w:w="1458"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p>
        </w:tc>
        <w:tc>
          <w:tcPr>
            <w:tcW w:w="1459"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p>
        </w:tc>
        <w:tc>
          <w:tcPr>
            <w:tcW w:w="1459"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p>
        </w:tc>
        <w:tc>
          <w:tcPr>
            <w:tcW w:w="1459"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p>
        </w:tc>
        <w:tc>
          <w:tcPr>
            <w:tcW w:w="1459" w:type="dxa"/>
            <w:tcBorders>
              <w:top w:val="nil"/>
              <w:left w:val="single" w:color="auto" w:sz="4" w:space="0"/>
              <w:bottom w:val="single" w:color="auto" w:sz="4" w:space="0"/>
              <w:right w:val="single" w:color="auto" w:sz="8" w:space="0"/>
            </w:tcBorders>
            <w:vAlign w:val="center"/>
          </w:tcPr>
          <w:p>
            <w:pPr>
              <w:widowControl/>
              <w:spacing w:line="240" w:lineRule="auto"/>
              <w:jc w:val="right"/>
              <w:rPr>
                <w:rFonts w:ascii="Times New Roman" w:hAnsi="Times New Roman" w:eastAsia="宋体"/>
                <w:spacing w:val="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868" w:type="dxa"/>
            <w:tcBorders>
              <w:top w:val="nil"/>
              <w:left w:val="single" w:color="auto" w:sz="8" w:space="0"/>
              <w:bottom w:val="single" w:color="auto" w:sz="4" w:space="0"/>
              <w:right w:val="single" w:color="auto" w:sz="4" w:space="0"/>
            </w:tcBorders>
            <w:vAlign w:val="center"/>
          </w:tcPr>
          <w:p>
            <w:pPr>
              <w:widowControl/>
              <w:spacing w:line="240" w:lineRule="auto"/>
              <w:jc w:val="left"/>
              <w:rPr>
                <w:rFonts w:ascii="Times New Roman" w:hAnsi="Times New Roman" w:eastAsia="宋体"/>
                <w:spacing w:val="0"/>
                <w:kern w:val="0"/>
                <w:sz w:val="18"/>
                <w:szCs w:val="18"/>
              </w:rPr>
            </w:pPr>
            <w:r>
              <w:rPr>
                <w:rFonts w:ascii="Times New Roman" w:hAnsi="Times New Roman" w:eastAsia="宋体"/>
                <w:spacing w:val="0"/>
                <w:kern w:val="0"/>
                <w:sz w:val="18"/>
                <w:szCs w:val="18"/>
              </w:rPr>
              <w:t>持有至到期投资</w:t>
            </w:r>
          </w:p>
        </w:tc>
        <w:tc>
          <w:tcPr>
            <w:tcW w:w="1458"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p>
        </w:tc>
        <w:tc>
          <w:tcPr>
            <w:tcW w:w="1459"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p>
        </w:tc>
        <w:tc>
          <w:tcPr>
            <w:tcW w:w="1459"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p>
        </w:tc>
        <w:tc>
          <w:tcPr>
            <w:tcW w:w="1459"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p>
        </w:tc>
        <w:tc>
          <w:tcPr>
            <w:tcW w:w="1459" w:type="dxa"/>
            <w:tcBorders>
              <w:top w:val="nil"/>
              <w:left w:val="single" w:color="auto" w:sz="4" w:space="0"/>
              <w:bottom w:val="single" w:color="auto" w:sz="4" w:space="0"/>
              <w:right w:val="single" w:color="auto" w:sz="8" w:space="0"/>
            </w:tcBorders>
            <w:vAlign w:val="center"/>
          </w:tcPr>
          <w:p>
            <w:pPr>
              <w:widowControl/>
              <w:spacing w:line="240" w:lineRule="auto"/>
              <w:jc w:val="right"/>
              <w:rPr>
                <w:rFonts w:ascii="Times New Roman" w:hAnsi="Times New Roman" w:eastAsia="宋体"/>
                <w:spacing w:val="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868" w:type="dxa"/>
            <w:tcBorders>
              <w:top w:val="nil"/>
              <w:left w:val="single" w:color="auto" w:sz="8" w:space="0"/>
              <w:bottom w:val="single" w:color="auto" w:sz="4" w:space="0"/>
              <w:right w:val="single" w:color="auto" w:sz="4" w:space="0"/>
            </w:tcBorders>
            <w:vAlign w:val="center"/>
          </w:tcPr>
          <w:p>
            <w:pPr>
              <w:widowControl/>
              <w:spacing w:line="240" w:lineRule="auto"/>
              <w:jc w:val="left"/>
              <w:rPr>
                <w:rFonts w:ascii="Times New Roman" w:hAnsi="Times New Roman" w:eastAsia="宋体"/>
                <w:spacing w:val="0"/>
                <w:kern w:val="0"/>
                <w:sz w:val="18"/>
                <w:szCs w:val="18"/>
              </w:rPr>
            </w:pPr>
            <w:r>
              <w:rPr>
                <w:rFonts w:ascii="Times New Roman" w:hAnsi="Times New Roman" w:eastAsia="宋体"/>
                <w:spacing w:val="0"/>
                <w:kern w:val="0"/>
                <w:sz w:val="18"/>
                <w:szCs w:val="18"/>
              </w:rPr>
              <w:t>长期股权投资</w:t>
            </w:r>
          </w:p>
        </w:tc>
        <w:tc>
          <w:tcPr>
            <w:tcW w:w="1458"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92,371.98</w:t>
            </w:r>
          </w:p>
        </w:tc>
        <w:tc>
          <w:tcPr>
            <w:tcW w:w="1459"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92,371.98</w:t>
            </w:r>
          </w:p>
        </w:tc>
        <w:tc>
          <w:tcPr>
            <w:tcW w:w="1459"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92,371.98</w:t>
            </w:r>
          </w:p>
        </w:tc>
        <w:tc>
          <w:tcPr>
            <w:tcW w:w="1459"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92,371.98</w:t>
            </w:r>
          </w:p>
        </w:tc>
        <w:tc>
          <w:tcPr>
            <w:tcW w:w="1459" w:type="dxa"/>
            <w:tcBorders>
              <w:top w:val="nil"/>
              <w:left w:val="single" w:color="auto" w:sz="4" w:space="0"/>
              <w:bottom w:val="single" w:color="auto" w:sz="4" w:space="0"/>
              <w:right w:val="single" w:color="auto" w:sz="8"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92,371.98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868" w:type="dxa"/>
            <w:tcBorders>
              <w:top w:val="nil"/>
              <w:left w:val="single" w:color="auto" w:sz="8" w:space="0"/>
              <w:bottom w:val="single" w:color="auto" w:sz="4" w:space="0"/>
              <w:right w:val="single" w:color="auto" w:sz="4" w:space="0"/>
            </w:tcBorders>
            <w:vAlign w:val="center"/>
          </w:tcPr>
          <w:p>
            <w:pPr>
              <w:widowControl/>
              <w:spacing w:line="240" w:lineRule="auto"/>
              <w:jc w:val="left"/>
              <w:rPr>
                <w:rFonts w:ascii="Times New Roman" w:hAnsi="Times New Roman" w:eastAsia="宋体"/>
                <w:spacing w:val="0"/>
                <w:kern w:val="0"/>
                <w:sz w:val="18"/>
                <w:szCs w:val="18"/>
              </w:rPr>
            </w:pPr>
            <w:r>
              <w:rPr>
                <w:rFonts w:ascii="Times New Roman" w:hAnsi="Times New Roman" w:eastAsia="宋体"/>
                <w:spacing w:val="0"/>
                <w:kern w:val="0"/>
                <w:sz w:val="18"/>
                <w:szCs w:val="18"/>
              </w:rPr>
              <w:t>应收款项类投资</w:t>
            </w:r>
          </w:p>
        </w:tc>
        <w:tc>
          <w:tcPr>
            <w:tcW w:w="1458"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p>
        </w:tc>
        <w:tc>
          <w:tcPr>
            <w:tcW w:w="1459"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p>
        </w:tc>
        <w:tc>
          <w:tcPr>
            <w:tcW w:w="1459"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p>
        </w:tc>
        <w:tc>
          <w:tcPr>
            <w:tcW w:w="1459"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p>
        </w:tc>
        <w:tc>
          <w:tcPr>
            <w:tcW w:w="1459" w:type="dxa"/>
            <w:tcBorders>
              <w:top w:val="nil"/>
              <w:left w:val="single" w:color="auto" w:sz="4" w:space="0"/>
              <w:bottom w:val="single" w:color="auto" w:sz="4" w:space="0"/>
              <w:right w:val="single" w:color="auto" w:sz="8" w:space="0"/>
            </w:tcBorders>
            <w:vAlign w:val="center"/>
          </w:tcPr>
          <w:p>
            <w:pPr>
              <w:widowControl/>
              <w:spacing w:line="240" w:lineRule="auto"/>
              <w:jc w:val="right"/>
              <w:rPr>
                <w:rFonts w:ascii="Times New Roman" w:hAnsi="Times New Roman" w:eastAsia="宋体"/>
                <w:spacing w:val="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868" w:type="dxa"/>
            <w:tcBorders>
              <w:top w:val="nil"/>
              <w:left w:val="single" w:color="auto" w:sz="8" w:space="0"/>
              <w:bottom w:val="single" w:color="auto" w:sz="4" w:space="0"/>
              <w:right w:val="single" w:color="auto" w:sz="4" w:space="0"/>
            </w:tcBorders>
            <w:vAlign w:val="center"/>
          </w:tcPr>
          <w:p>
            <w:pPr>
              <w:widowControl/>
              <w:spacing w:line="240" w:lineRule="auto"/>
              <w:jc w:val="left"/>
              <w:rPr>
                <w:rFonts w:ascii="Times New Roman" w:hAnsi="Times New Roman" w:eastAsia="宋体"/>
                <w:spacing w:val="0"/>
                <w:kern w:val="0"/>
                <w:sz w:val="18"/>
                <w:szCs w:val="18"/>
              </w:rPr>
            </w:pPr>
            <w:r>
              <w:rPr>
                <w:rFonts w:ascii="Times New Roman" w:hAnsi="Times New Roman" w:eastAsia="宋体"/>
                <w:spacing w:val="0"/>
                <w:kern w:val="0"/>
                <w:sz w:val="18"/>
                <w:szCs w:val="18"/>
              </w:rPr>
              <w:t>固定资产</w:t>
            </w:r>
          </w:p>
        </w:tc>
        <w:tc>
          <w:tcPr>
            <w:tcW w:w="1458"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1,261,511.98</w:t>
            </w:r>
          </w:p>
        </w:tc>
        <w:tc>
          <w:tcPr>
            <w:tcW w:w="1459"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1,261,511.98</w:t>
            </w:r>
          </w:p>
        </w:tc>
        <w:tc>
          <w:tcPr>
            <w:tcW w:w="1459"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1,261,511.98</w:t>
            </w:r>
          </w:p>
        </w:tc>
        <w:tc>
          <w:tcPr>
            <w:tcW w:w="1459"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1,261,511.98</w:t>
            </w:r>
          </w:p>
        </w:tc>
        <w:tc>
          <w:tcPr>
            <w:tcW w:w="1459" w:type="dxa"/>
            <w:tcBorders>
              <w:top w:val="nil"/>
              <w:left w:val="single" w:color="auto" w:sz="4" w:space="0"/>
              <w:bottom w:val="single" w:color="auto" w:sz="4" w:space="0"/>
              <w:right w:val="single" w:color="auto" w:sz="8"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1,261,511.98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868" w:type="dxa"/>
            <w:tcBorders>
              <w:top w:val="nil"/>
              <w:left w:val="single" w:color="auto" w:sz="8" w:space="0"/>
              <w:bottom w:val="single" w:color="auto" w:sz="4" w:space="0"/>
              <w:right w:val="single" w:color="auto" w:sz="4" w:space="0"/>
            </w:tcBorders>
            <w:vAlign w:val="center"/>
          </w:tcPr>
          <w:p>
            <w:pPr>
              <w:widowControl/>
              <w:spacing w:line="240" w:lineRule="auto"/>
              <w:jc w:val="left"/>
              <w:rPr>
                <w:rFonts w:ascii="Times New Roman" w:hAnsi="Times New Roman" w:eastAsia="宋体"/>
                <w:spacing w:val="0"/>
                <w:kern w:val="0"/>
                <w:sz w:val="18"/>
                <w:szCs w:val="18"/>
              </w:rPr>
            </w:pPr>
            <w:r>
              <w:rPr>
                <w:rFonts w:ascii="Times New Roman" w:hAnsi="Times New Roman" w:eastAsia="宋体"/>
                <w:spacing w:val="0"/>
                <w:kern w:val="0"/>
                <w:sz w:val="18"/>
                <w:szCs w:val="18"/>
              </w:rPr>
              <w:t>无形资产</w:t>
            </w:r>
          </w:p>
        </w:tc>
        <w:tc>
          <w:tcPr>
            <w:tcW w:w="1458"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76,006.95</w:t>
            </w:r>
          </w:p>
        </w:tc>
        <w:tc>
          <w:tcPr>
            <w:tcW w:w="1459"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76,006.95</w:t>
            </w:r>
          </w:p>
        </w:tc>
        <w:tc>
          <w:tcPr>
            <w:tcW w:w="1459"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76,006.95</w:t>
            </w:r>
          </w:p>
        </w:tc>
        <w:tc>
          <w:tcPr>
            <w:tcW w:w="1459"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76,006.95</w:t>
            </w:r>
          </w:p>
        </w:tc>
        <w:tc>
          <w:tcPr>
            <w:tcW w:w="1459" w:type="dxa"/>
            <w:tcBorders>
              <w:top w:val="nil"/>
              <w:left w:val="single" w:color="auto" w:sz="4" w:space="0"/>
              <w:bottom w:val="single" w:color="auto" w:sz="4" w:space="0"/>
              <w:right w:val="single" w:color="auto" w:sz="8"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76,006.95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868" w:type="dxa"/>
            <w:tcBorders>
              <w:top w:val="nil"/>
              <w:left w:val="single" w:color="auto" w:sz="8" w:space="0"/>
              <w:bottom w:val="single" w:color="auto" w:sz="4" w:space="0"/>
              <w:right w:val="single" w:color="auto" w:sz="4" w:space="0"/>
            </w:tcBorders>
            <w:vAlign w:val="center"/>
          </w:tcPr>
          <w:p>
            <w:pPr>
              <w:widowControl/>
              <w:spacing w:line="240" w:lineRule="auto"/>
              <w:jc w:val="left"/>
              <w:rPr>
                <w:rFonts w:ascii="Times New Roman" w:hAnsi="Times New Roman" w:eastAsia="宋体"/>
                <w:spacing w:val="0"/>
                <w:kern w:val="0"/>
                <w:sz w:val="18"/>
                <w:szCs w:val="18"/>
              </w:rPr>
            </w:pPr>
            <w:r>
              <w:rPr>
                <w:rFonts w:ascii="Times New Roman" w:hAnsi="Times New Roman" w:eastAsia="宋体"/>
                <w:spacing w:val="0"/>
                <w:kern w:val="0"/>
                <w:sz w:val="18"/>
                <w:szCs w:val="18"/>
              </w:rPr>
              <w:t>商誉</w:t>
            </w:r>
          </w:p>
        </w:tc>
        <w:tc>
          <w:tcPr>
            <w:tcW w:w="1458"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128,100.00</w:t>
            </w:r>
          </w:p>
        </w:tc>
        <w:tc>
          <w:tcPr>
            <w:tcW w:w="1459"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128,100.00</w:t>
            </w:r>
          </w:p>
        </w:tc>
        <w:tc>
          <w:tcPr>
            <w:tcW w:w="1459"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128,100.00</w:t>
            </w:r>
          </w:p>
        </w:tc>
        <w:tc>
          <w:tcPr>
            <w:tcW w:w="1459"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128,100.00</w:t>
            </w:r>
          </w:p>
        </w:tc>
        <w:tc>
          <w:tcPr>
            <w:tcW w:w="1459" w:type="dxa"/>
            <w:tcBorders>
              <w:top w:val="nil"/>
              <w:left w:val="single" w:color="auto" w:sz="4" w:space="0"/>
              <w:bottom w:val="single" w:color="auto" w:sz="4" w:space="0"/>
              <w:right w:val="single" w:color="auto" w:sz="8"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128,100.00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868" w:type="dxa"/>
            <w:tcBorders>
              <w:top w:val="nil"/>
              <w:left w:val="single" w:color="auto" w:sz="8" w:space="0"/>
              <w:bottom w:val="single" w:color="auto" w:sz="4" w:space="0"/>
              <w:right w:val="single" w:color="auto" w:sz="4" w:space="0"/>
            </w:tcBorders>
            <w:vAlign w:val="center"/>
          </w:tcPr>
          <w:p>
            <w:pPr>
              <w:widowControl/>
              <w:spacing w:line="240" w:lineRule="auto"/>
              <w:jc w:val="left"/>
              <w:rPr>
                <w:rFonts w:ascii="Times New Roman" w:hAnsi="Times New Roman" w:eastAsia="宋体"/>
                <w:spacing w:val="0"/>
                <w:kern w:val="0"/>
                <w:sz w:val="18"/>
                <w:szCs w:val="18"/>
              </w:rPr>
            </w:pPr>
            <w:r>
              <w:rPr>
                <w:rFonts w:ascii="Times New Roman" w:hAnsi="Times New Roman" w:eastAsia="宋体"/>
                <w:spacing w:val="0"/>
                <w:kern w:val="0"/>
                <w:sz w:val="18"/>
                <w:szCs w:val="18"/>
              </w:rPr>
              <w:t>递延所得税资产</w:t>
            </w:r>
          </w:p>
        </w:tc>
        <w:tc>
          <w:tcPr>
            <w:tcW w:w="1458"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395,466.34</w:t>
            </w:r>
          </w:p>
        </w:tc>
        <w:tc>
          <w:tcPr>
            <w:tcW w:w="1459"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395,466.34</w:t>
            </w:r>
          </w:p>
        </w:tc>
        <w:tc>
          <w:tcPr>
            <w:tcW w:w="1459"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395,466.34</w:t>
            </w:r>
          </w:p>
        </w:tc>
        <w:tc>
          <w:tcPr>
            <w:tcW w:w="1459"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395,466.34</w:t>
            </w:r>
          </w:p>
        </w:tc>
        <w:tc>
          <w:tcPr>
            <w:tcW w:w="1459" w:type="dxa"/>
            <w:tcBorders>
              <w:top w:val="nil"/>
              <w:left w:val="single" w:color="auto" w:sz="4" w:space="0"/>
              <w:bottom w:val="single" w:color="auto" w:sz="4" w:space="0"/>
              <w:right w:val="single" w:color="auto" w:sz="8"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395,466.34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868" w:type="dxa"/>
            <w:tcBorders>
              <w:top w:val="nil"/>
              <w:left w:val="single" w:color="auto" w:sz="8" w:space="0"/>
              <w:bottom w:val="single" w:color="auto" w:sz="4" w:space="0"/>
              <w:right w:val="single" w:color="auto" w:sz="4" w:space="0"/>
            </w:tcBorders>
            <w:vAlign w:val="center"/>
          </w:tcPr>
          <w:p>
            <w:pPr>
              <w:widowControl/>
              <w:spacing w:line="240" w:lineRule="auto"/>
              <w:jc w:val="left"/>
              <w:rPr>
                <w:rFonts w:ascii="Times New Roman" w:hAnsi="Times New Roman" w:eastAsia="宋体"/>
                <w:spacing w:val="0"/>
                <w:kern w:val="0"/>
                <w:sz w:val="18"/>
                <w:szCs w:val="18"/>
              </w:rPr>
            </w:pPr>
            <w:r>
              <w:rPr>
                <w:rFonts w:ascii="Times New Roman" w:hAnsi="Times New Roman" w:eastAsia="宋体"/>
                <w:spacing w:val="0"/>
                <w:kern w:val="0"/>
                <w:sz w:val="18"/>
                <w:szCs w:val="18"/>
              </w:rPr>
              <w:t>投资性房地产</w:t>
            </w:r>
          </w:p>
        </w:tc>
        <w:tc>
          <w:tcPr>
            <w:tcW w:w="1458"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p>
        </w:tc>
        <w:tc>
          <w:tcPr>
            <w:tcW w:w="1459"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p>
        </w:tc>
        <w:tc>
          <w:tcPr>
            <w:tcW w:w="1459"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p>
        </w:tc>
        <w:tc>
          <w:tcPr>
            <w:tcW w:w="1459"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p>
        </w:tc>
        <w:tc>
          <w:tcPr>
            <w:tcW w:w="1459" w:type="dxa"/>
            <w:tcBorders>
              <w:top w:val="nil"/>
              <w:left w:val="single" w:color="auto" w:sz="4" w:space="0"/>
              <w:bottom w:val="single" w:color="auto" w:sz="4" w:space="0"/>
              <w:right w:val="single" w:color="auto" w:sz="8" w:space="0"/>
            </w:tcBorders>
            <w:vAlign w:val="center"/>
          </w:tcPr>
          <w:p>
            <w:pPr>
              <w:widowControl/>
              <w:spacing w:line="240" w:lineRule="auto"/>
              <w:jc w:val="right"/>
              <w:rPr>
                <w:rFonts w:ascii="Times New Roman" w:hAnsi="Times New Roman" w:eastAsia="宋体"/>
                <w:spacing w:val="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868" w:type="dxa"/>
            <w:tcBorders>
              <w:top w:val="nil"/>
              <w:left w:val="single" w:color="auto" w:sz="8" w:space="0"/>
              <w:bottom w:val="single" w:color="auto" w:sz="4" w:space="0"/>
              <w:right w:val="single" w:color="auto" w:sz="4" w:space="0"/>
            </w:tcBorders>
            <w:vAlign w:val="center"/>
          </w:tcPr>
          <w:p>
            <w:pPr>
              <w:widowControl/>
              <w:spacing w:line="240" w:lineRule="auto"/>
              <w:jc w:val="left"/>
              <w:rPr>
                <w:rFonts w:ascii="Times New Roman" w:hAnsi="Times New Roman" w:eastAsia="宋体"/>
                <w:spacing w:val="0"/>
                <w:kern w:val="0"/>
                <w:sz w:val="18"/>
                <w:szCs w:val="18"/>
              </w:rPr>
            </w:pPr>
            <w:r>
              <w:rPr>
                <w:rFonts w:ascii="Times New Roman" w:hAnsi="Times New Roman" w:eastAsia="宋体"/>
                <w:spacing w:val="0"/>
                <w:kern w:val="0"/>
                <w:sz w:val="18"/>
                <w:szCs w:val="18"/>
              </w:rPr>
              <w:t>其他资产</w:t>
            </w:r>
          </w:p>
        </w:tc>
        <w:tc>
          <w:tcPr>
            <w:tcW w:w="1458"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5,668,302.99</w:t>
            </w:r>
          </w:p>
        </w:tc>
        <w:tc>
          <w:tcPr>
            <w:tcW w:w="1459"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5,668,302.99</w:t>
            </w:r>
          </w:p>
        </w:tc>
        <w:tc>
          <w:tcPr>
            <w:tcW w:w="1459"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5,668,302.99</w:t>
            </w:r>
          </w:p>
        </w:tc>
        <w:tc>
          <w:tcPr>
            <w:tcW w:w="1459"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5,668,302.99</w:t>
            </w:r>
          </w:p>
        </w:tc>
        <w:tc>
          <w:tcPr>
            <w:tcW w:w="1459" w:type="dxa"/>
            <w:tcBorders>
              <w:top w:val="nil"/>
              <w:left w:val="single" w:color="auto" w:sz="4" w:space="0"/>
              <w:bottom w:val="single" w:color="auto" w:sz="4" w:space="0"/>
              <w:right w:val="single" w:color="auto" w:sz="8"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5,668,302.99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868" w:type="dxa"/>
            <w:tcBorders>
              <w:top w:val="nil"/>
              <w:left w:val="single" w:color="auto" w:sz="8" w:space="0"/>
              <w:bottom w:val="single" w:color="auto" w:sz="4" w:space="0"/>
              <w:right w:val="single" w:color="auto" w:sz="4" w:space="0"/>
            </w:tcBorders>
            <w:vAlign w:val="center"/>
          </w:tcPr>
          <w:p>
            <w:pPr>
              <w:widowControl/>
              <w:spacing w:line="240" w:lineRule="auto"/>
              <w:jc w:val="left"/>
              <w:rPr>
                <w:rFonts w:ascii="Times New Roman" w:hAnsi="Times New Roman" w:eastAsia="宋体"/>
                <w:spacing w:val="0"/>
                <w:kern w:val="0"/>
                <w:sz w:val="18"/>
                <w:szCs w:val="18"/>
              </w:rPr>
            </w:pPr>
            <w:r>
              <w:rPr>
                <w:rFonts w:ascii="Times New Roman" w:hAnsi="Times New Roman" w:eastAsia="宋体"/>
                <w:spacing w:val="0"/>
                <w:kern w:val="0"/>
                <w:sz w:val="18"/>
                <w:szCs w:val="18"/>
              </w:rPr>
              <w:t>资产总计</w:t>
            </w:r>
          </w:p>
        </w:tc>
        <w:tc>
          <w:tcPr>
            <w:tcW w:w="1458"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263,505,700.18</w:t>
            </w:r>
          </w:p>
        </w:tc>
        <w:tc>
          <w:tcPr>
            <w:tcW w:w="1459"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290,195,164.71</w:t>
            </w:r>
          </w:p>
        </w:tc>
        <w:tc>
          <w:tcPr>
            <w:tcW w:w="1459"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319,701,353.96</w:t>
            </w:r>
          </w:p>
        </w:tc>
        <w:tc>
          <w:tcPr>
            <w:tcW w:w="1459"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349,120,579.46</w:t>
            </w:r>
          </w:p>
        </w:tc>
        <w:tc>
          <w:tcPr>
            <w:tcW w:w="1459" w:type="dxa"/>
            <w:tcBorders>
              <w:top w:val="nil"/>
              <w:left w:val="single" w:color="auto" w:sz="4" w:space="0"/>
              <w:bottom w:val="single" w:color="auto" w:sz="4" w:space="0"/>
              <w:right w:val="single" w:color="auto" w:sz="8"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377,776,029.41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868" w:type="dxa"/>
            <w:tcBorders>
              <w:top w:val="nil"/>
              <w:left w:val="single" w:color="auto" w:sz="8" w:space="0"/>
              <w:bottom w:val="single" w:color="auto" w:sz="4" w:space="0"/>
              <w:right w:val="single" w:color="auto" w:sz="4" w:space="0"/>
            </w:tcBorders>
            <w:vAlign w:val="center"/>
          </w:tcPr>
          <w:p>
            <w:pPr>
              <w:widowControl/>
              <w:spacing w:line="240" w:lineRule="auto"/>
              <w:jc w:val="left"/>
              <w:rPr>
                <w:rFonts w:ascii="Times New Roman" w:hAnsi="Times New Roman" w:eastAsia="宋体"/>
                <w:spacing w:val="0"/>
                <w:kern w:val="0"/>
                <w:sz w:val="18"/>
                <w:szCs w:val="18"/>
              </w:rPr>
            </w:pPr>
            <w:r>
              <w:rPr>
                <w:rFonts w:ascii="Times New Roman" w:hAnsi="Times New Roman" w:eastAsia="宋体"/>
                <w:spacing w:val="0"/>
                <w:kern w:val="0"/>
                <w:sz w:val="18"/>
                <w:szCs w:val="18"/>
              </w:rPr>
              <w:t>负债和股东权益</w:t>
            </w:r>
          </w:p>
        </w:tc>
        <w:tc>
          <w:tcPr>
            <w:tcW w:w="1458"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p>
        </w:tc>
        <w:tc>
          <w:tcPr>
            <w:tcW w:w="1459"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p>
        </w:tc>
        <w:tc>
          <w:tcPr>
            <w:tcW w:w="1459"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p>
        </w:tc>
        <w:tc>
          <w:tcPr>
            <w:tcW w:w="1459"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p>
        </w:tc>
        <w:tc>
          <w:tcPr>
            <w:tcW w:w="1459" w:type="dxa"/>
            <w:tcBorders>
              <w:top w:val="nil"/>
              <w:left w:val="single" w:color="auto" w:sz="4" w:space="0"/>
              <w:bottom w:val="single" w:color="auto" w:sz="4" w:space="0"/>
              <w:right w:val="single" w:color="auto" w:sz="8" w:space="0"/>
            </w:tcBorders>
            <w:vAlign w:val="center"/>
          </w:tcPr>
          <w:p>
            <w:pPr>
              <w:widowControl/>
              <w:spacing w:line="240" w:lineRule="auto"/>
              <w:jc w:val="right"/>
              <w:rPr>
                <w:rFonts w:ascii="Times New Roman" w:hAnsi="Times New Roman" w:eastAsia="宋体"/>
                <w:spacing w:val="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868" w:type="dxa"/>
            <w:tcBorders>
              <w:top w:val="nil"/>
              <w:left w:val="single" w:color="auto" w:sz="8" w:space="0"/>
              <w:bottom w:val="single" w:color="auto" w:sz="4" w:space="0"/>
              <w:right w:val="single" w:color="auto" w:sz="4" w:space="0"/>
            </w:tcBorders>
            <w:vAlign w:val="center"/>
          </w:tcPr>
          <w:p>
            <w:pPr>
              <w:widowControl/>
              <w:spacing w:line="240" w:lineRule="auto"/>
              <w:jc w:val="left"/>
              <w:rPr>
                <w:rFonts w:ascii="Times New Roman" w:hAnsi="Times New Roman" w:eastAsia="宋体"/>
                <w:spacing w:val="0"/>
                <w:kern w:val="0"/>
                <w:sz w:val="18"/>
                <w:szCs w:val="18"/>
              </w:rPr>
            </w:pPr>
            <w:r>
              <w:rPr>
                <w:rFonts w:ascii="Times New Roman" w:hAnsi="Times New Roman" w:eastAsia="宋体"/>
                <w:spacing w:val="0"/>
                <w:kern w:val="0"/>
                <w:sz w:val="18"/>
                <w:szCs w:val="18"/>
              </w:rPr>
              <w:t>负债</w:t>
            </w:r>
          </w:p>
        </w:tc>
        <w:tc>
          <w:tcPr>
            <w:tcW w:w="1458"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p>
        </w:tc>
        <w:tc>
          <w:tcPr>
            <w:tcW w:w="1459"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p>
        </w:tc>
        <w:tc>
          <w:tcPr>
            <w:tcW w:w="1459"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p>
        </w:tc>
        <w:tc>
          <w:tcPr>
            <w:tcW w:w="1459"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p>
        </w:tc>
        <w:tc>
          <w:tcPr>
            <w:tcW w:w="1459" w:type="dxa"/>
            <w:tcBorders>
              <w:top w:val="nil"/>
              <w:left w:val="single" w:color="auto" w:sz="4" w:space="0"/>
              <w:bottom w:val="single" w:color="auto" w:sz="4" w:space="0"/>
              <w:right w:val="single" w:color="auto" w:sz="8" w:space="0"/>
            </w:tcBorders>
            <w:vAlign w:val="center"/>
          </w:tcPr>
          <w:p>
            <w:pPr>
              <w:widowControl/>
              <w:spacing w:line="240" w:lineRule="auto"/>
              <w:jc w:val="right"/>
              <w:rPr>
                <w:rFonts w:ascii="Times New Roman" w:hAnsi="Times New Roman" w:eastAsia="宋体"/>
                <w:spacing w:val="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1868" w:type="dxa"/>
            <w:tcBorders>
              <w:top w:val="nil"/>
              <w:left w:val="single" w:color="auto" w:sz="8" w:space="0"/>
              <w:bottom w:val="single" w:color="auto" w:sz="4" w:space="0"/>
              <w:right w:val="single" w:color="auto" w:sz="4" w:space="0"/>
            </w:tcBorders>
            <w:vAlign w:val="center"/>
          </w:tcPr>
          <w:p>
            <w:pPr>
              <w:widowControl/>
              <w:spacing w:line="240" w:lineRule="auto"/>
              <w:jc w:val="left"/>
              <w:rPr>
                <w:rFonts w:ascii="Times New Roman" w:hAnsi="Times New Roman" w:eastAsia="宋体"/>
                <w:spacing w:val="0"/>
                <w:kern w:val="0"/>
                <w:sz w:val="18"/>
                <w:szCs w:val="18"/>
              </w:rPr>
            </w:pPr>
            <w:r>
              <w:rPr>
                <w:rFonts w:ascii="Times New Roman" w:hAnsi="Times New Roman" w:eastAsia="宋体"/>
                <w:spacing w:val="0"/>
                <w:kern w:val="0"/>
                <w:sz w:val="18"/>
                <w:szCs w:val="18"/>
              </w:rPr>
              <w:t>同业及其他金融机构存放款项</w:t>
            </w:r>
          </w:p>
        </w:tc>
        <w:tc>
          <w:tcPr>
            <w:tcW w:w="1458"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59,515,696.67</w:t>
            </w:r>
          </w:p>
        </w:tc>
        <w:tc>
          <w:tcPr>
            <w:tcW w:w="1459"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65,467,307.61</w:t>
            </w:r>
          </w:p>
        </w:tc>
        <w:tc>
          <w:tcPr>
            <w:tcW w:w="1459"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72,014,054.89</w:t>
            </w:r>
          </w:p>
        </w:tc>
        <w:tc>
          <w:tcPr>
            <w:tcW w:w="1459"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78,495,336.34</w:t>
            </w:r>
          </w:p>
        </w:tc>
        <w:tc>
          <w:tcPr>
            <w:tcW w:w="1459" w:type="dxa"/>
            <w:tcBorders>
              <w:top w:val="nil"/>
              <w:left w:val="single" w:color="auto" w:sz="4" w:space="0"/>
              <w:bottom w:val="single" w:color="auto" w:sz="4" w:space="0"/>
              <w:right w:val="single" w:color="auto" w:sz="8"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84,774,936.83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868" w:type="dxa"/>
            <w:tcBorders>
              <w:top w:val="nil"/>
              <w:left w:val="single" w:color="auto" w:sz="8" w:space="0"/>
              <w:bottom w:val="single" w:color="auto" w:sz="4" w:space="0"/>
              <w:right w:val="single" w:color="auto" w:sz="4" w:space="0"/>
            </w:tcBorders>
            <w:vAlign w:val="center"/>
          </w:tcPr>
          <w:p>
            <w:pPr>
              <w:widowControl/>
              <w:spacing w:line="240" w:lineRule="auto"/>
              <w:jc w:val="left"/>
              <w:rPr>
                <w:rFonts w:ascii="Times New Roman" w:hAnsi="Times New Roman" w:eastAsia="宋体"/>
                <w:spacing w:val="0"/>
                <w:kern w:val="0"/>
                <w:sz w:val="18"/>
                <w:szCs w:val="18"/>
              </w:rPr>
            </w:pPr>
            <w:r>
              <w:rPr>
                <w:rFonts w:ascii="Times New Roman" w:hAnsi="Times New Roman" w:eastAsia="宋体"/>
                <w:spacing w:val="0"/>
                <w:kern w:val="0"/>
                <w:sz w:val="18"/>
                <w:szCs w:val="18"/>
              </w:rPr>
              <w:t>向中央银行借款</w:t>
            </w:r>
          </w:p>
        </w:tc>
        <w:tc>
          <w:tcPr>
            <w:tcW w:w="1458"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p>
        </w:tc>
        <w:tc>
          <w:tcPr>
            <w:tcW w:w="1459"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p>
        </w:tc>
        <w:tc>
          <w:tcPr>
            <w:tcW w:w="1459"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p>
        </w:tc>
        <w:tc>
          <w:tcPr>
            <w:tcW w:w="1459"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p>
        </w:tc>
        <w:tc>
          <w:tcPr>
            <w:tcW w:w="1459" w:type="dxa"/>
            <w:tcBorders>
              <w:top w:val="nil"/>
              <w:left w:val="single" w:color="auto" w:sz="4" w:space="0"/>
              <w:bottom w:val="single" w:color="auto" w:sz="4" w:space="0"/>
              <w:right w:val="single" w:color="auto" w:sz="8" w:space="0"/>
            </w:tcBorders>
            <w:vAlign w:val="center"/>
          </w:tcPr>
          <w:p>
            <w:pPr>
              <w:widowControl/>
              <w:spacing w:line="240" w:lineRule="auto"/>
              <w:jc w:val="right"/>
              <w:rPr>
                <w:rFonts w:ascii="Times New Roman" w:hAnsi="Times New Roman" w:eastAsia="宋体"/>
                <w:spacing w:val="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868" w:type="dxa"/>
            <w:tcBorders>
              <w:top w:val="nil"/>
              <w:left w:val="single" w:color="auto" w:sz="8" w:space="0"/>
              <w:bottom w:val="single" w:color="auto" w:sz="4" w:space="0"/>
              <w:right w:val="single" w:color="auto" w:sz="4" w:space="0"/>
            </w:tcBorders>
            <w:vAlign w:val="center"/>
          </w:tcPr>
          <w:p>
            <w:pPr>
              <w:widowControl/>
              <w:spacing w:line="240" w:lineRule="auto"/>
              <w:jc w:val="left"/>
              <w:rPr>
                <w:rFonts w:ascii="Times New Roman" w:hAnsi="Times New Roman" w:eastAsia="宋体"/>
                <w:spacing w:val="0"/>
                <w:kern w:val="0"/>
                <w:sz w:val="18"/>
                <w:szCs w:val="18"/>
              </w:rPr>
            </w:pPr>
            <w:r>
              <w:rPr>
                <w:rFonts w:ascii="Times New Roman" w:hAnsi="Times New Roman" w:eastAsia="宋体"/>
                <w:spacing w:val="0"/>
                <w:kern w:val="0"/>
                <w:sz w:val="18"/>
                <w:szCs w:val="18"/>
              </w:rPr>
              <w:t>拆入资金</w:t>
            </w:r>
          </w:p>
        </w:tc>
        <w:tc>
          <w:tcPr>
            <w:tcW w:w="1458"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p>
        </w:tc>
        <w:tc>
          <w:tcPr>
            <w:tcW w:w="1459"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p>
        </w:tc>
        <w:tc>
          <w:tcPr>
            <w:tcW w:w="1459"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p>
        </w:tc>
        <w:tc>
          <w:tcPr>
            <w:tcW w:w="1459"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p>
        </w:tc>
        <w:tc>
          <w:tcPr>
            <w:tcW w:w="1459" w:type="dxa"/>
            <w:tcBorders>
              <w:top w:val="nil"/>
              <w:left w:val="single" w:color="auto" w:sz="4" w:space="0"/>
              <w:bottom w:val="single" w:color="auto" w:sz="4" w:space="0"/>
              <w:right w:val="single" w:color="auto" w:sz="8" w:space="0"/>
            </w:tcBorders>
            <w:vAlign w:val="center"/>
          </w:tcPr>
          <w:p>
            <w:pPr>
              <w:widowControl/>
              <w:spacing w:line="240" w:lineRule="auto"/>
              <w:jc w:val="right"/>
              <w:rPr>
                <w:rFonts w:ascii="Times New Roman" w:hAnsi="Times New Roman" w:eastAsia="宋体"/>
                <w:spacing w:val="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868" w:type="dxa"/>
            <w:tcBorders>
              <w:top w:val="nil"/>
              <w:left w:val="single" w:color="auto" w:sz="8" w:space="0"/>
              <w:bottom w:val="single" w:color="auto" w:sz="4" w:space="0"/>
              <w:right w:val="single" w:color="auto" w:sz="4" w:space="0"/>
            </w:tcBorders>
            <w:vAlign w:val="center"/>
          </w:tcPr>
          <w:p>
            <w:pPr>
              <w:widowControl/>
              <w:spacing w:line="240" w:lineRule="auto"/>
              <w:jc w:val="left"/>
              <w:rPr>
                <w:rFonts w:ascii="Times New Roman" w:hAnsi="Times New Roman" w:eastAsia="宋体"/>
                <w:spacing w:val="0"/>
                <w:kern w:val="0"/>
                <w:sz w:val="18"/>
                <w:szCs w:val="18"/>
              </w:rPr>
            </w:pPr>
            <w:r>
              <w:rPr>
                <w:rFonts w:ascii="Times New Roman" w:hAnsi="Times New Roman" w:eastAsia="宋体"/>
                <w:spacing w:val="0"/>
                <w:kern w:val="0"/>
                <w:sz w:val="18"/>
                <w:szCs w:val="18"/>
              </w:rPr>
              <w:t>交易性金融负债</w:t>
            </w:r>
          </w:p>
        </w:tc>
        <w:tc>
          <w:tcPr>
            <w:tcW w:w="1458"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p>
        </w:tc>
        <w:tc>
          <w:tcPr>
            <w:tcW w:w="1459"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p>
        </w:tc>
        <w:tc>
          <w:tcPr>
            <w:tcW w:w="1459"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p>
        </w:tc>
        <w:tc>
          <w:tcPr>
            <w:tcW w:w="1459"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p>
        </w:tc>
        <w:tc>
          <w:tcPr>
            <w:tcW w:w="1459" w:type="dxa"/>
            <w:tcBorders>
              <w:top w:val="nil"/>
              <w:left w:val="single" w:color="auto" w:sz="4" w:space="0"/>
              <w:bottom w:val="single" w:color="auto" w:sz="4" w:space="0"/>
              <w:right w:val="single" w:color="auto" w:sz="8" w:space="0"/>
            </w:tcBorders>
            <w:vAlign w:val="center"/>
          </w:tcPr>
          <w:p>
            <w:pPr>
              <w:widowControl/>
              <w:spacing w:line="240" w:lineRule="auto"/>
              <w:jc w:val="right"/>
              <w:rPr>
                <w:rFonts w:ascii="Times New Roman" w:hAnsi="Times New Roman" w:eastAsia="宋体"/>
                <w:spacing w:val="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868" w:type="dxa"/>
            <w:tcBorders>
              <w:top w:val="nil"/>
              <w:left w:val="single" w:color="auto" w:sz="8" w:space="0"/>
              <w:bottom w:val="single" w:color="auto" w:sz="4" w:space="0"/>
              <w:right w:val="single" w:color="auto" w:sz="4" w:space="0"/>
            </w:tcBorders>
            <w:vAlign w:val="center"/>
          </w:tcPr>
          <w:p>
            <w:pPr>
              <w:widowControl/>
              <w:spacing w:line="240" w:lineRule="auto"/>
              <w:jc w:val="left"/>
              <w:rPr>
                <w:rFonts w:ascii="Times New Roman" w:hAnsi="Times New Roman" w:eastAsia="宋体"/>
                <w:spacing w:val="0"/>
                <w:kern w:val="0"/>
                <w:sz w:val="18"/>
                <w:szCs w:val="18"/>
              </w:rPr>
            </w:pPr>
            <w:r>
              <w:rPr>
                <w:rFonts w:ascii="Times New Roman" w:hAnsi="Times New Roman" w:eastAsia="宋体"/>
                <w:spacing w:val="0"/>
                <w:kern w:val="0"/>
                <w:sz w:val="18"/>
                <w:szCs w:val="18"/>
              </w:rPr>
              <w:t>衍生金融负债</w:t>
            </w:r>
          </w:p>
        </w:tc>
        <w:tc>
          <w:tcPr>
            <w:tcW w:w="1458"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p>
        </w:tc>
        <w:tc>
          <w:tcPr>
            <w:tcW w:w="1459"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p>
        </w:tc>
        <w:tc>
          <w:tcPr>
            <w:tcW w:w="1459"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p>
        </w:tc>
        <w:tc>
          <w:tcPr>
            <w:tcW w:w="1459"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p>
        </w:tc>
        <w:tc>
          <w:tcPr>
            <w:tcW w:w="1459" w:type="dxa"/>
            <w:tcBorders>
              <w:top w:val="nil"/>
              <w:left w:val="single" w:color="auto" w:sz="4" w:space="0"/>
              <w:bottom w:val="single" w:color="auto" w:sz="4" w:space="0"/>
              <w:right w:val="single" w:color="auto" w:sz="8" w:space="0"/>
            </w:tcBorders>
            <w:vAlign w:val="center"/>
          </w:tcPr>
          <w:p>
            <w:pPr>
              <w:widowControl/>
              <w:spacing w:line="240" w:lineRule="auto"/>
              <w:jc w:val="right"/>
              <w:rPr>
                <w:rFonts w:ascii="Times New Roman" w:hAnsi="Times New Roman" w:eastAsia="宋体"/>
                <w:spacing w:val="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868" w:type="dxa"/>
            <w:tcBorders>
              <w:top w:val="nil"/>
              <w:left w:val="single" w:color="auto" w:sz="8" w:space="0"/>
              <w:bottom w:val="single" w:color="auto" w:sz="4" w:space="0"/>
              <w:right w:val="single" w:color="auto" w:sz="4" w:space="0"/>
            </w:tcBorders>
            <w:vAlign w:val="center"/>
          </w:tcPr>
          <w:p>
            <w:pPr>
              <w:widowControl/>
              <w:spacing w:line="240" w:lineRule="auto"/>
              <w:jc w:val="left"/>
              <w:rPr>
                <w:rFonts w:ascii="Times New Roman" w:hAnsi="Times New Roman" w:eastAsia="宋体"/>
                <w:spacing w:val="0"/>
                <w:kern w:val="0"/>
                <w:sz w:val="18"/>
                <w:szCs w:val="18"/>
              </w:rPr>
            </w:pPr>
            <w:r>
              <w:rPr>
                <w:rFonts w:ascii="Times New Roman" w:hAnsi="Times New Roman" w:eastAsia="宋体"/>
                <w:spacing w:val="0"/>
                <w:kern w:val="0"/>
                <w:sz w:val="18"/>
                <w:szCs w:val="18"/>
              </w:rPr>
              <w:t>卖出回购金融资产款项</w:t>
            </w:r>
          </w:p>
        </w:tc>
        <w:tc>
          <w:tcPr>
            <w:tcW w:w="1458"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p>
        </w:tc>
        <w:tc>
          <w:tcPr>
            <w:tcW w:w="1459"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p>
        </w:tc>
        <w:tc>
          <w:tcPr>
            <w:tcW w:w="1459"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p>
        </w:tc>
        <w:tc>
          <w:tcPr>
            <w:tcW w:w="1459"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p>
        </w:tc>
        <w:tc>
          <w:tcPr>
            <w:tcW w:w="1459" w:type="dxa"/>
            <w:tcBorders>
              <w:top w:val="nil"/>
              <w:left w:val="single" w:color="auto" w:sz="4" w:space="0"/>
              <w:bottom w:val="single" w:color="auto" w:sz="4" w:space="0"/>
              <w:right w:val="single" w:color="auto" w:sz="8" w:space="0"/>
            </w:tcBorders>
            <w:vAlign w:val="center"/>
          </w:tcPr>
          <w:p>
            <w:pPr>
              <w:widowControl/>
              <w:spacing w:line="240" w:lineRule="auto"/>
              <w:jc w:val="right"/>
              <w:rPr>
                <w:rFonts w:ascii="Times New Roman" w:hAnsi="Times New Roman" w:eastAsia="宋体"/>
                <w:spacing w:val="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868" w:type="dxa"/>
            <w:tcBorders>
              <w:top w:val="nil"/>
              <w:left w:val="single" w:color="auto" w:sz="8" w:space="0"/>
              <w:bottom w:val="single" w:color="auto" w:sz="4" w:space="0"/>
              <w:right w:val="single" w:color="auto" w:sz="4" w:space="0"/>
            </w:tcBorders>
            <w:vAlign w:val="center"/>
          </w:tcPr>
          <w:p>
            <w:pPr>
              <w:widowControl/>
              <w:spacing w:line="240" w:lineRule="auto"/>
              <w:jc w:val="left"/>
              <w:rPr>
                <w:rFonts w:ascii="Times New Roman" w:hAnsi="Times New Roman" w:eastAsia="宋体"/>
                <w:spacing w:val="0"/>
                <w:kern w:val="0"/>
                <w:sz w:val="18"/>
                <w:szCs w:val="18"/>
              </w:rPr>
            </w:pPr>
            <w:r>
              <w:rPr>
                <w:rFonts w:ascii="Times New Roman" w:hAnsi="Times New Roman" w:eastAsia="宋体"/>
                <w:spacing w:val="0"/>
                <w:kern w:val="0"/>
                <w:sz w:val="18"/>
                <w:szCs w:val="18"/>
              </w:rPr>
              <w:t>吸收存款</w:t>
            </w:r>
          </w:p>
        </w:tc>
        <w:tc>
          <w:tcPr>
            <w:tcW w:w="1458"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176,480,100.00</w:t>
            </w:r>
          </w:p>
        </w:tc>
        <w:tc>
          <w:tcPr>
            <w:tcW w:w="1459"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194,128,100.00</w:t>
            </w:r>
          </w:p>
        </w:tc>
        <w:tc>
          <w:tcPr>
            <w:tcW w:w="1459"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213,540,900.00</w:t>
            </w:r>
          </w:p>
        </w:tc>
        <w:tc>
          <w:tcPr>
            <w:tcW w:w="1459"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232,759,600.00</w:t>
            </w:r>
          </w:p>
        </w:tc>
        <w:tc>
          <w:tcPr>
            <w:tcW w:w="1459" w:type="dxa"/>
            <w:tcBorders>
              <w:top w:val="nil"/>
              <w:left w:val="single" w:color="auto" w:sz="4" w:space="0"/>
              <w:bottom w:val="single" w:color="auto" w:sz="4" w:space="0"/>
              <w:right w:val="single" w:color="auto" w:sz="8"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251,380,400.00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868" w:type="dxa"/>
            <w:tcBorders>
              <w:top w:val="nil"/>
              <w:left w:val="single" w:color="auto" w:sz="8" w:space="0"/>
              <w:bottom w:val="single" w:color="auto" w:sz="4" w:space="0"/>
              <w:right w:val="single" w:color="auto" w:sz="4" w:space="0"/>
            </w:tcBorders>
            <w:vAlign w:val="center"/>
          </w:tcPr>
          <w:p>
            <w:pPr>
              <w:widowControl/>
              <w:spacing w:line="240" w:lineRule="auto"/>
              <w:jc w:val="left"/>
              <w:rPr>
                <w:rFonts w:ascii="Times New Roman" w:hAnsi="Times New Roman" w:eastAsia="宋体"/>
                <w:spacing w:val="0"/>
                <w:kern w:val="0"/>
                <w:sz w:val="18"/>
                <w:szCs w:val="18"/>
              </w:rPr>
            </w:pPr>
            <w:r>
              <w:rPr>
                <w:rFonts w:ascii="Times New Roman" w:hAnsi="Times New Roman" w:eastAsia="宋体"/>
                <w:spacing w:val="0"/>
                <w:kern w:val="0"/>
                <w:sz w:val="18"/>
                <w:szCs w:val="18"/>
              </w:rPr>
              <w:t>应付职工薪酬</w:t>
            </w:r>
          </w:p>
        </w:tc>
        <w:tc>
          <w:tcPr>
            <w:tcW w:w="1458"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810,546.27</w:t>
            </w:r>
          </w:p>
        </w:tc>
        <w:tc>
          <w:tcPr>
            <w:tcW w:w="1459"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810,546.27</w:t>
            </w:r>
          </w:p>
        </w:tc>
        <w:tc>
          <w:tcPr>
            <w:tcW w:w="1459"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810,546.27</w:t>
            </w:r>
          </w:p>
        </w:tc>
        <w:tc>
          <w:tcPr>
            <w:tcW w:w="1459"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810,546.27</w:t>
            </w:r>
          </w:p>
        </w:tc>
        <w:tc>
          <w:tcPr>
            <w:tcW w:w="1459" w:type="dxa"/>
            <w:tcBorders>
              <w:top w:val="nil"/>
              <w:left w:val="single" w:color="auto" w:sz="4" w:space="0"/>
              <w:bottom w:val="single" w:color="auto" w:sz="4" w:space="0"/>
              <w:right w:val="single" w:color="auto" w:sz="8"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810,546.27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868" w:type="dxa"/>
            <w:tcBorders>
              <w:top w:val="nil"/>
              <w:left w:val="single" w:color="auto" w:sz="8" w:space="0"/>
              <w:bottom w:val="single" w:color="auto" w:sz="4" w:space="0"/>
              <w:right w:val="single" w:color="auto" w:sz="4" w:space="0"/>
            </w:tcBorders>
            <w:vAlign w:val="center"/>
          </w:tcPr>
          <w:p>
            <w:pPr>
              <w:widowControl/>
              <w:spacing w:line="240" w:lineRule="auto"/>
              <w:jc w:val="left"/>
              <w:rPr>
                <w:rFonts w:ascii="Times New Roman" w:hAnsi="Times New Roman" w:eastAsia="宋体"/>
                <w:spacing w:val="0"/>
                <w:kern w:val="0"/>
                <w:sz w:val="18"/>
                <w:szCs w:val="18"/>
              </w:rPr>
            </w:pPr>
            <w:r>
              <w:rPr>
                <w:rFonts w:ascii="Times New Roman" w:hAnsi="Times New Roman" w:eastAsia="宋体"/>
                <w:spacing w:val="0"/>
                <w:kern w:val="0"/>
                <w:sz w:val="18"/>
                <w:szCs w:val="18"/>
              </w:rPr>
              <w:t>应交税费</w:t>
            </w:r>
          </w:p>
        </w:tc>
        <w:tc>
          <w:tcPr>
            <w:tcW w:w="1458"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257,846.62</w:t>
            </w:r>
          </w:p>
        </w:tc>
        <w:tc>
          <w:tcPr>
            <w:tcW w:w="1459"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257,846.62</w:t>
            </w:r>
          </w:p>
        </w:tc>
        <w:tc>
          <w:tcPr>
            <w:tcW w:w="1459"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257,846.62</w:t>
            </w:r>
          </w:p>
        </w:tc>
        <w:tc>
          <w:tcPr>
            <w:tcW w:w="1459"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257,846.62</w:t>
            </w:r>
          </w:p>
        </w:tc>
        <w:tc>
          <w:tcPr>
            <w:tcW w:w="1459" w:type="dxa"/>
            <w:tcBorders>
              <w:top w:val="nil"/>
              <w:left w:val="single" w:color="auto" w:sz="4" w:space="0"/>
              <w:bottom w:val="single" w:color="auto" w:sz="4" w:space="0"/>
              <w:right w:val="single" w:color="auto" w:sz="8"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257,846.62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868" w:type="dxa"/>
            <w:tcBorders>
              <w:top w:val="nil"/>
              <w:left w:val="single" w:color="auto" w:sz="8" w:space="0"/>
              <w:bottom w:val="single" w:color="auto" w:sz="4" w:space="0"/>
              <w:right w:val="single" w:color="auto" w:sz="4" w:space="0"/>
            </w:tcBorders>
            <w:vAlign w:val="center"/>
          </w:tcPr>
          <w:p>
            <w:pPr>
              <w:widowControl/>
              <w:spacing w:line="240" w:lineRule="auto"/>
              <w:jc w:val="left"/>
              <w:rPr>
                <w:rFonts w:ascii="Times New Roman" w:hAnsi="Times New Roman" w:eastAsia="宋体"/>
                <w:spacing w:val="0"/>
                <w:kern w:val="0"/>
                <w:sz w:val="18"/>
                <w:szCs w:val="18"/>
              </w:rPr>
            </w:pPr>
            <w:r>
              <w:rPr>
                <w:rFonts w:ascii="Times New Roman" w:hAnsi="Times New Roman" w:eastAsia="宋体"/>
                <w:spacing w:val="0"/>
                <w:kern w:val="0"/>
                <w:sz w:val="18"/>
                <w:szCs w:val="18"/>
              </w:rPr>
              <w:t>应付利息</w:t>
            </w:r>
          </w:p>
        </w:tc>
        <w:tc>
          <w:tcPr>
            <w:tcW w:w="1458"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2,077,869.22</w:t>
            </w:r>
          </w:p>
        </w:tc>
        <w:tc>
          <w:tcPr>
            <w:tcW w:w="1459"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2,077,869.22</w:t>
            </w:r>
          </w:p>
        </w:tc>
        <w:tc>
          <w:tcPr>
            <w:tcW w:w="1459"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2,077,869.22</w:t>
            </w:r>
          </w:p>
        </w:tc>
        <w:tc>
          <w:tcPr>
            <w:tcW w:w="1459"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2,077,869.22</w:t>
            </w:r>
          </w:p>
        </w:tc>
        <w:tc>
          <w:tcPr>
            <w:tcW w:w="1459" w:type="dxa"/>
            <w:tcBorders>
              <w:top w:val="nil"/>
              <w:left w:val="single" w:color="auto" w:sz="4" w:space="0"/>
              <w:bottom w:val="single" w:color="auto" w:sz="4" w:space="0"/>
              <w:right w:val="single" w:color="auto" w:sz="8"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2,077,869.22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868" w:type="dxa"/>
            <w:tcBorders>
              <w:top w:val="nil"/>
              <w:left w:val="single" w:color="auto" w:sz="8" w:space="0"/>
              <w:bottom w:val="single" w:color="auto" w:sz="4" w:space="0"/>
              <w:right w:val="single" w:color="auto" w:sz="4" w:space="0"/>
            </w:tcBorders>
            <w:vAlign w:val="center"/>
          </w:tcPr>
          <w:p>
            <w:pPr>
              <w:widowControl/>
              <w:spacing w:line="240" w:lineRule="auto"/>
              <w:jc w:val="left"/>
              <w:rPr>
                <w:rFonts w:ascii="Times New Roman" w:hAnsi="Times New Roman" w:eastAsia="宋体"/>
                <w:spacing w:val="0"/>
                <w:kern w:val="0"/>
                <w:sz w:val="18"/>
                <w:szCs w:val="18"/>
              </w:rPr>
            </w:pPr>
            <w:r>
              <w:rPr>
                <w:rFonts w:ascii="Times New Roman" w:hAnsi="Times New Roman" w:eastAsia="宋体"/>
                <w:spacing w:val="0"/>
                <w:kern w:val="0"/>
                <w:sz w:val="18"/>
                <w:szCs w:val="18"/>
              </w:rPr>
              <w:t>代理业务负债</w:t>
            </w:r>
          </w:p>
        </w:tc>
        <w:tc>
          <w:tcPr>
            <w:tcW w:w="1458"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p>
        </w:tc>
        <w:tc>
          <w:tcPr>
            <w:tcW w:w="1459"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p>
        </w:tc>
        <w:tc>
          <w:tcPr>
            <w:tcW w:w="1459"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p>
        </w:tc>
        <w:tc>
          <w:tcPr>
            <w:tcW w:w="1459"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p>
        </w:tc>
        <w:tc>
          <w:tcPr>
            <w:tcW w:w="1459" w:type="dxa"/>
            <w:tcBorders>
              <w:top w:val="nil"/>
              <w:left w:val="single" w:color="auto" w:sz="4" w:space="0"/>
              <w:bottom w:val="single" w:color="auto" w:sz="4" w:space="0"/>
              <w:right w:val="single" w:color="auto" w:sz="8" w:space="0"/>
            </w:tcBorders>
            <w:vAlign w:val="center"/>
          </w:tcPr>
          <w:p>
            <w:pPr>
              <w:widowControl/>
              <w:spacing w:line="240" w:lineRule="auto"/>
              <w:jc w:val="right"/>
              <w:rPr>
                <w:rFonts w:ascii="Times New Roman" w:hAnsi="Times New Roman" w:eastAsia="宋体"/>
                <w:spacing w:val="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868" w:type="dxa"/>
            <w:tcBorders>
              <w:top w:val="nil"/>
              <w:left w:val="single" w:color="auto" w:sz="8" w:space="0"/>
              <w:bottom w:val="single" w:color="auto" w:sz="4" w:space="0"/>
              <w:right w:val="single" w:color="auto" w:sz="4" w:space="0"/>
            </w:tcBorders>
            <w:vAlign w:val="center"/>
          </w:tcPr>
          <w:p>
            <w:pPr>
              <w:widowControl/>
              <w:spacing w:line="240" w:lineRule="auto"/>
              <w:jc w:val="left"/>
              <w:rPr>
                <w:rFonts w:ascii="Times New Roman" w:hAnsi="Times New Roman" w:eastAsia="宋体"/>
                <w:spacing w:val="0"/>
                <w:kern w:val="0"/>
                <w:sz w:val="18"/>
                <w:szCs w:val="18"/>
              </w:rPr>
            </w:pPr>
            <w:r>
              <w:rPr>
                <w:rFonts w:ascii="Times New Roman" w:hAnsi="Times New Roman" w:eastAsia="宋体"/>
                <w:spacing w:val="0"/>
                <w:kern w:val="0"/>
                <w:sz w:val="18"/>
                <w:szCs w:val="18"/>
              </w:rPr>
              <w:t>应付债券</w:t>
            </w:r>
          </w:p>
        </w:tc>
        <w:tc>
          <w:tcPr>
            <w:tcW w:w="1458"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5,290,000.00</w:t>
            </w:r>
          </w:p>
        </w:tc>
        <w:tc>
          <w:tcPr>
            <w:tcW w:w="1459"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5,290,000.00</w:t>
            </w:r>
          </w:p>
        </w:tc>
        <w:tc>
          <w:tcPr>
            <w:tcW w:w="1459"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5,290,000.00</w:t>
            </w:r>
          </w:p>
        </w:tc>
        <w:tc>
          <w:tcPr>
            <w:tcW w:w="1459"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5,290,000.00</w:t>
            </w:r>
          </w:p>
        </w:tc>
        <w:tc>
          <w:tcPr>
            <w:tcW w:w="1459"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5,290,000.00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868" w:type="dxa"/>
            <w:tcBorders>
              <w:top w:val="nil"/>
              <w:left w:val="single" w:color="auto" w:sz="8" w:space="0"/>
              <w:bottom w:val="single" w:color="auto" w:sz="4" w:space="0"/>
              <w:right w:val="single" w:color="auto" w:sz="4" w:space="0"/>
            </w:tcBorders>
            <w:vAlign w:val="center"/>
          </w:tcPr>
          <w:p>
            <w:pPr>
              <w:widowControl/>
              <w:spacing w:line="240" w:lineRule="auto"/>
              <w:jc w:val="left"/>
              <w:rPr>
                <w:rFonts w:ascii="Times New Roman" w:hAnsi="Times New Roman" w:eastAsia="宋体"/>
                <w:spacing w:val="0"/>
                <w:kern w:val="0"/>
                <w:sz w:val="18"/>
                <w:szCs w:val="18"/>
              </w:rPr>
            </w:pPr>
            <w:r>
              <w:rPr>
                <w:rFonts w:ascii="Times New Roman" w:hAnsi="Times New Roman" w:eastAsia="宋体"/>
                <w:spacing w:val="0"/>
                <w:kern w:val="0"/>
                <w:sz w:val="18"/>
                <w:szCs w:val="18"/>
              </w:rPr>
              <w:t>递延所得税负债</w:t>
            </w:r>
          </w:p>
        </w:tc>
        <w:tc>
          <w:tcPr>
            <w:tcW w:w="1458"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p>
        </w:tc>
        <w:tc>
          <w:tcPr>
            <w:tcW w:w="1459"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p>
        </w:tc>
        <w:tc>
          <w:tcPr>
            <w:tcW w:w="1459"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p>
        </w:tc>
        <w:tc>
          <w:tcPr>
            <w:tcW w:w="1459"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p>
        </w:tc>
        <w:tc>
          <w:tcPr>
            <w:tcW w:w="1459" w:type="dxa"/>
            <w:tcBorders>
              <w:top w:val="single" w:color="auto" w:sz="4" w:space="0"/>
              <w:left w:val="single" w:color="auto" w:sz="4" w:space="0"/>
              <w:bottom w:val="single" w:color="auto" w:sz="4" w:space="0"/>
              <w:right w:val="single" w:color="auto" w:sz="8" w:space="0"/>
            </w:tcBorders>
            <w:vAlign w:val="center"/>
          </w:tcPr>
          <w:p>
            <w:pPr>
              <w:widowControl/>
              <w:spacing w:line="240" w:lineRule="auto"/>
              <w:jc w:val="right"/>
              <w:rPr>
                <w:rFonts w:ascii="Times New Roman" w:hAnsi="Times New Roman" w:eastAsia="宋体"/>
                <w:spacing w:val="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868" w:type="dxa"/>
            <w:tcBorders>
              <w:top w:val="nil"/>
              <w:left w:val="single" w:color="auto" w:sz="8" w:space="0"/>
              <w:bottom w:val="single" w:color="auto" w:sz="4" w:space="0"/>
              <w:right w:val="single" w:color="auto" w:sz="4" w:space="0"/>
            </w:tcBorders>
            <w:vAlign w:val="center"/>
          </w:tcPr>
          <w:p>
            <w:pPr>
              <w:widowControl/>
              <w:spacing w:line="240" w:lineRule="auto"/>
              <w:jc w:val="left"/>
              <w:rPr>
                <w:rFonts w:ascii="Times New Roman" w:hAnsi="Times New Roman" w:eastAsia="宋体"/>
                <w:spacing w:val="0"/>
                <w:kern w:val="0"/>
                <w:sz w:val="18"/>
                <w:szCs w:val="18"/>
              </w:rPr>
            </w:pPr>
            <w:r>
              <w:rPr>
                <w:rFonts w:ascii="Times New Roman" w:hAnsi="Times New Roman" w:eastAsia="宋体"/>
                <w:spacing w:val="0"/>
                <w:kern w:val="0"/>
                <w:sz w:val="18"/>
                <w:szCs w:val="18"/>
              </w:rPr>
              <w:t>预计负债</w:t>
            </w:r>
          </w:p>
        </w:tc>
        <w:tc>
          <w:tcPr>
            <w:tcW w:w="1458"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32,631.68</w:t>
            </w:r>
          </w:p>
        </w:tc>
        <w:tc>
          <w:tcPr>
            <w:tcW w:w="1459"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32,631.68</w:t>
            </w:r>
          </w:p>
        </w:tc>
        <w:tc>
          <w:tcPr>
            <w:tcW w:w="1459"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32,631.68</w:t>
            </w:r>
          </w:p>
        </w:tc>
        <w:tc>
          <w:tcPr>
            <w:tcW w:w="1459"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32,631.68</w:t>
            </w:r>
          </w:p>
        </w:tc>
        <w:tc>
          <w:tcPr>
            <w:tcW w:w="1459" w:type="dxa"/>
            <w:tcBorders>
              <w:top w:val="nil"/>
              <w:left w:val="single" w:color="auto" w:sz="4" w:space="0"/>
              <w:bottom w:val="single" w:color="auto" w:sz="4" w:space="0"/>
              <w:right w:val="single" w:color="auto" w:sz="8"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32,631.68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868" w:type="dxa"/>
            <w:tcBorders>
              <w:top w:val="nil"/>
              <w:left w:val="single" w:color="auto" w:sz="8" w:space="0"/>
              <w:bottom w:val="single" w:color="auto" w:sz="4" w:space="0"/>
              <w:right w:val="single" w:color="auto" w:sz="4" w:space="0"/>
            </w:tcBorders>
            <w:vAlign w:val="center"/>
          </w:tcPr>
          <w:p>
            <w:pPr>
              <w:widowControl/>
              <w:spacing w:line="240" w:lineRule="auto"/>
              <w:jc w:val="left"/>
              <w:rPr>
                <w:rFonts w:ascii="Times New Roman" w:hAnsi="Times New Roman" w:eastAsia="宋体"/>
                <w:spacing w:val="0"/>
                <w:kern w:val="0"/>
                <w:sz w:val="18"/>
                <w:szCs w:val="18"/>
              </w:rPr>
            </w:pPr>
            <w:r>
              <w:rPr>
                <w:rFonts w:ascii="Times New Roman" w:hAnsi="Times New Roman" w:eastAsia="宋体"/>
                <w:spacing w:val="0"/>
                <w:kern w:val="0"/>
                <w:sz w:val="18"/>
                <w:szCs w:val="18"/>
              </w:rPr>
              <w:t>其他负债</w:t>
            </w:r>
          </w:p>
        </w:tc>
        <w:tc>
          <w:tcPr>
            <w:tcW w:w="1458"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2,481,047.19</w:t>
            </w:r>
          </w:p>
        </w:tc>
        <w:tc>
          <w:tcPr>
            <w:tcW w:w="1459"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2,481,047.19</w:t>
            </w:r>
          </w:p>
        </w:tc>
        <w:tc>
          <w:tcPr>
            <w:tcW w:w="1459"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2,481,047.19</w:t>
            </w:r>
          </w:p>
        </w:tc>
        <w:tc>
          <w:tcPr>
            <w:tcW w:w="1459"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2,481,047.19</w:t>
            </w:r>
          </w:p>
        </w:tc>
        <w:tc>
          <w:tcPr>
            <w:tcW w:w="1459" w:type="dxa"/>
            <w:tcBorders>
              <w:top w:val="nil"/>
              <w:left w:val="single" w:color="auto" w:sz="4" w:space="0"/>
              <w:bottom w:val="single" w:color="auto" w:sz="4" w:space="0"/>
              <w:right w:val="single" w:color="auto" w:sz="8"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2,481,047.19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868" w:type="dxa"/>
            <w:tcBorders>
              <w:top w:val="nil"/>
              <w:left w:val="single" w:color="auto" w:sz="8" w:space="0"/>
              <w:bottom w:val="single" w:color="auto" w:sz="4" w:space="0"/>
              <w:right w:val="single" w:color="auto" w:sz="4" w:space="0"/>
            </w:tcBorders>
            <w:vAlign w:val="center"/>
          </w:tcPr>
          <w:p>
            <w:pPr>
              <w:widowControl/>
              <w:spacing w:line="240" w:lineRule="auto"/>
              <w:jc w:val="left"/>
              <w:rPr>
                <w:rFonts w:ascii="Times New Roman" w:hAnsi="Times New Roman" w:eastAsia="宋体"/>
                <w:spacing w:val="0"/>
                <w:kern w:val="0"/>
                <w:sz w:val="18"/>
                <w:szCs w:val="18"/>
              </w:rPr>
            </w:pPr>
            <w:r>
              <w:rPr>
                <w:rFonts w:ascii="Times New Roman" w:hAnsi="Times New Roman" w:eastAsia="宋体"/>
                <w:spacing w:val="0"/>
                <w:kern w:val="0"/>
                <w:sz w:val="18"/>
                <w:szCs w:val="18"/>
              </w:rPr>
              <w:t>负债合计</w:t>
            </w:r>
          </w:p>
        </w:tc>
        <w:tc>
          <w:tcPr>
            <w:tcW w:w="1458"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246,945,737.65</w:t>
            </w:r>
          </w:p>
        </w:tc>
        <w:tc>
          <w:tcPr>
            <w:tcW w:w="1459"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270,545,348.59</w:t>
            </w:r>
          </w:p>
        </w:tc>
        <w:tc>
          <w:tcPr>
            <w:tcW w:w="1459"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296,504,895.87</w:t>
            </w:r>
          </w:p>
        </w:tc>
        <w:tc>
          <w:tcPr>
            <w:tcW w:w="1459"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322,204,877.32</w:t>
            </w:r>
          </w:p>
        </w:tc>
        <w:tc>
          <w:tcPr>
            <w:tcW w:w="1459" w:type="dxa"/>
            <w:tcBorders>
              <w:top w:val="nil"/>
              <w:left w:val="single" w:color="auto" w:sz="4" w:space="0"/>
              <w:bottom w:val="single" w:color="auto" w:sz="4" w:space="0"/>
              <w:right w:val="single" w:color="auto" w:sz="8"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347,105,277.81</w:t>
            </w:r>
          </w:p>
        </w:tc>
      </w:tr>
    </w:tbl>
    <w:p>
      <w:pPr>
        <w:spacing w:line="360" w:lineRule="auto"/>
        <w:ind w:firstLine="584" w:firstLineChars="200"/>
        <w:rPr>
          <w:rFonts w:ascii="Times New Roman" w:hAnsi="Times New Roman"/>
          <w:sz w:val="28"/>
        </w:rPr>
      </w:pPr>
    </w:p>
    <w:p>
      <w:pPr>
        <w:spacing w:line="360" w:lineRule="auto"/>
        <w:ind w:firstLine="638" w:firstLineChars="200"/>
        <w:outlineLvl w:val="0"/>
        <w:rPr>
          <w:rFonts w:ascii="Times New Roman" w:hAnsi="Times New Roman"/>
          <w:b/>
          <w:spacing w:val="-1"/>
          <w:sz w:val="32"/>
          <w:szCs w:val="32"/>
          <w:lang w:val="zh-TW"/>
        </w:rPr>
      </w:pPr>
      <w:r>
        <w:rPr>
          <w:rFonts w:hint="eastAsia" w:ascii="Times New Roman" w:hAnsi="Times New Roman"/>
          <w:b/>
          <w:spacing w:val="-1"/>
          <w:sz w:val="32"/>
          <w:szCs w:val="32"/>
          <w:lang w:val="zh-TW"/>
        </w:rPr>
        <w:t>案例二：银行权益变动表预测</w:t>
      </w:r>
    </w:p>
    <w:p>
      <w:pPr>
        <w:spacing w:line="360" w:lineRule="auto"/>
        <w:ind w:firstLine="584" w:firstLineChars="200"/>
        <w:rPr>
          <w:rFonts w:ascii="Times New Roman" w:hAnsi="Times New Roman"/>
          <w:sz w:val="28"/>
        </w:rPr>
      </w:pPr>
      <w:r>
        <w:rPr>
          <w:rFonts w:ascii="Times New Roman" w:hAnsi="Times New Roman"/>
          <w:sz w:val="28"/>
        </w:rPr>
        <w:t>根据xx银行资产、负债规模，结合股本、资本公积、一般风险准备及实现净利润对权益变动表进行预测。</w:t>
      </w:r>
    </w:p>
    <w:p>
      <w:pPr>
        <w:spacing w:line="360" w:lineRule="auto"/>
        <w:ind w:firstLine="584" w:firstLineChars="200"/>
        <w:rPr>
          <w:rFonts w:ascii="Times New Roman" w:hAnsi="Times New Roman"/>
          <w:sz w:val="28"/>
        </w:rPr>
      </w:pPr>
      <w:r>
        <w:rPr>
          <w:rFonts w:ascii="Times New Roman" w:hAnsi="Times New Roman"/>
          <w:sz w:val="28"/>
        </w:rPr>
        <w:t>股本和资本公积在预测期保持评估基准日水平不变。盈余公积根据公司法关于提取盈余公积的相关规定，按净利润的10%进行提取，当提取的法定盈余公积金累计额超过注册资本的50%以上时，可以不再提取。一般风险准备根据监管政策按照净利润的10%进行提取。按照会计政策提取盈余公积和一般风险准备后，对xx银行的资本充足率进行测算，使资本充足率满足监管要求的前提下将利润最大程度进行分配。</w:t>
      </w:r>
    </w:p>
    <w:p>
      <w:pPr>
        <w:spacing w:line="360" w:lineRule="auto"/>
        <w:ind w:firstLine="584" w:firstLineChars="200"/>
        <w:rPr>
          <w:rFonts w:ascii="Times New Roman" w:hAnsi="Times New Roman"/>
          <w:sz w:val="28"/>
          <w:szCs w:val="28"/>
          <w:lang w:val="zh-CN"/>
        </w:rPr>
      </w:pPr>
      <w:r>
        <w:rPr>
          <w:rFonts w:ascii="Times New Roman" w:hAnsi="Times New Roman"/>
          <w:sz w:val="28"/>
          <w:szCs w:val="28"/>
        </w:rPr>
        <w:t>2012年6月7日，银监会发布了《商业银行资本管理办法（试行）》（以下简称“《资本办法》”）。《资本办法》将于2013年1月1日起施行，要求商业银行在2018年底前达到规定的资本充足率监管要求。通过尽职调查了解到，</w:t>
      </w:r>
      <w:r>
        <w:rPr>
          <w:rFonts w:ascii="Times New Roman" w:hAnsi="Times New Roman"/>
          <w:sz w:val="28"/>
          <w:szCs w:val="28"/>
          <w:lang w:val="zh-CN"/>
        </w:rPr>
        <w:t>xx银行在过渡年份资本充足率也会争取保持在10.5%的监管水平以上，</w:t>
      </w:r>
      <w:r>
        <w:rPr>
          <w:rFonts w:hint="eastAsia" w:ascii="Times New Roman" w:hAnsi="Times New Roman"/>
          <w:sz w:val="28"/>
          <w:szCs w:val="28"/>
          <w:lang w:val="zh-CN"/>
        </w:rPr>
        <w:t>资产评估师</w:t>
      </w:r>
      <w:r>
        <w:rPr>
          <w:rFonts w:ascii="Times New Roman" w:hAnsi="Times New Roman"/>
          <w:sz w:val="28"/>
          <w:szCs w:val="28"/>
          <w:lang w:val="zh-CN"/>
        </w:rPr>
        <w:t>根据xx银行的发展速度，资产的扩张速度，为使盈利预测中的核心资本充足率达到要求，一方面在满足资本充足率监管要求，提取一般风险准备和盈余公积后，最大可能分配利润；另一方面在资本不足时进行资本补充。资本充足率根据历史年度风险资本占总资产比重进行测算。</w:t>
      </w:r>
    </w:p>
    <w:p>
      <w:pPr>
        <w:spacing w:line="360" w:lineRule="auto"/>
        <w:jc w:val="center"/>
        <w:rPr>
          <w:rFonts w:ascii="Times New Roman" w:hAnsi="Times New Roman" w:eastAsia="黑体"/>
          <w:sz w:val="24"/>
        </w:rPr>
      </w:pPr>
      <w:r>
        <w:rPr>
          <w:rFonts w:ascii="Times New Roman" w:hAnsi="Times New Roman" w:eastAsia="黑体"/>
          <w:sz w:val="24"/>
        </w:rPr>
        <w:t>资本充足率监管表</w:t>
      </w:r>
    </w:p>
    <w:tbl>
      <w:tblPr>
        <w:tblStyle w:val="2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9"/>
        <w:gridCol w:w="1297"/>
        <w:gridCol w:w="1297"/>
        <w:gridCol w:w="1297"/>
        <w:gridCol w:w="1297"/>
        <w:gridCol w:w="1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039" w:type="dxa"/>
            <w:vAlign w:val="center"/>
          </w:tcPr>
          <w:p>
            <w:pPr>
              <w:widowControl/>
              <w:spacing w:line="240" w:lineRule="auto"/>
              <w:jc w:val="center"/>
              <w:rPr>
                <w:rFonts w:ascii="Times New Roman" w:hAnsi="Times New Roman" w:eastAsia="宋体"/>
                <w:b/>
                <w:kern w:val="0"/>
                <w:sz w:val="18"/>
                <w:szCs w:val="18"/>
              </w:rPr>
            </w:pPr>
            <w:r>
              <w:rPr>
                <w:rFonts w:ascii="Times New Roman" w:hAnsi="宋体" w:eastAsia="宋体"/>
                <w:b/>
                <w:kern w:val="0"/>
                <w:sz w:val="18"/>
                <w:szCs w:val="18"/>
              </w:rPr>
              <w:t>年份</w:t>
            </w:r>
          </w:p>
        </w:tc>
        <w:tc>
          <w:tcPr>
            <w:tcW w:w="1297" w:type="dxa"/>
            <w:vAlign w:val="center"/>
          </w:tcPr>
          <w:p>
            <w:pPr>
              <w:widowControl/>
              <w:spacing w:line="240" w:lineRule="auto"/>
              <w:jc w:val="center"/>
              <w:rPr>
                <w:rFonts w:ascii="Times New Roman" w:hAnsi="Times New Roman" w:eastAsia="宋体"/>
                <w:b/>
                <w:kern w:val="0"/>
                <w:sz w:val="18"/>
                <w:szCs w:val="18"/>
              </w:rPr>
            </w:pPr>
            <w:r>
              <w:rPr>
                <w:rFonts w:ascii="Times New Roman" w:hAnsi="Times New Roman" w:eastAsia="宋体"/>
                <w:b/>
                <w:kern w:val="0"/>
                <w:sz w:val="18"/>
                <w:szCs w:val="18"/>
              </w:rPr>
              <w:t>20x4</w:t>
            </w:r>
            <w:r>
              <w:rPr>
                <w:rFonts w:ascii="Times New Roman" w:hAnsi="宋体" w:eastAsia="宋体"/>
                <w:b/>
                <w:kern w:val="0"/>
                <w:sz w:val="18"/>
                <w:szCs w:val="18"/>
              </w:rPr>
              <w:t>年</w:t>
            </w:r>
          </w:p>
        </w:tc>
        <w:tc>
          <w:tcPr>
            <w:tcW w:w="1297" w:type="dxa"/>
            <w:vAlign w:val="center"/>
          </w:tcPr>
          <w:p>
            <w:pPr>
              <w:widowControl/>
              <w:spacing w:line="240" w:lineRule="auto"/>
              <w:jc w:val="center"/>
              <w:rPr>
                <w:rFonts w:ascii="Times New Roman" w:hAnsi="Times New Roman" w:eastAsia="宋体"/>
                <w:b/>
                <w:kern w:val="0"/>
                <w:sz w:val="18"/>
                <w:szCs w:val="18"/>
              </w:rPr>
            </w:pPr>
            <w:r>
              <w:rPr>
                <w:rFonts w:ascii="Times New Roman" w:hAnsi="Times New Roman" w:eastAsia="宋体"/>
                <w:b/>
                <w:kern w:val="0"/>
                <w:sz w:val="18"/>
                <w:szCs w:val="18"/>
              </w:rPr>
              <w:t>20x5</w:t>
            </w:r>
            <w:r>
              <w:rPr>
                <w:rFonts w:ascii="Times New Roman" w:hAnsi="宋体" w:eastAsia="宋体"/>
                <w:b/>
                <w:kern w:val="0"/>
                <w:sz w:val="18"/>
                <w:szCs w:val="18"/>
              </w:rPr>
              <w:t>年</w:t>
            </w:r>
          </w:p>
        </w:tc>
        <w:tc>
          <w:tcPr>
            <w:tcW w:w="1297" w:type="dxa"/>
            <w:vAlign w:val="center"/>
          </w:tcPr>
          <w:p>
            <w:pPr>
              <w:widowControl/>
              <w:spacing w:line="240" w:lineRule="auto"/>
              <w:jc w:val="center"/>
              <w:rPr>
                <w:rFonts w:ascii="Times New Roman" w:hAnsi="Times New Roman" w:eastAsia="宋体"/>
                <w:b/>
                <w:kern w:val="0"/>
                <w:sz w:val="18"/>
                <w:szCs w:val="18"/>
              </w:rPr>
            </w:pPr>
            <w:r>
              <w:rPr>
                <w:rFonts w:ascii="Times New Roman" w:hAnsi="Times New Roman" w:eastAsia="宋体"/>
                <w:b/>
                <w:kern w:val="0"/>
                <w:sz w:val="18"/>
                <w:szCs w:val="18"/>
              </w:rPr>
              <w:t>20x6</w:t>
            </w:r>
            <w:r>
              <w:rPr>
                <w:rFonts w:ascii="Times New Roman" w:hAnsi="宋体" w:eastAsia="宋体"/>
                <w:b/>
                <w:kern w:val="0"/>
                <w:sz w:val="18"/>
                <w:szCs w:val="18"/>
              </w:rPr>
              <w:t>年</w:t>
            </w:r>
          </w:p>
        </w:tc>
        <w:tc>
          <w:tcPr>
            <w:tcW w:w="1297" w:type="dxa"/>
            <w:vAlign w:val="center"/>
          </w:tcPr>
          <w:p>
            <w:pPr>
              <w:widowControl/>
              <w:spacing w:line="240" w:lineRule="auto"/>
              <w:jc w:val="center"/>
              <w:rPr>
                <w:rFonts w:ascii="Times New Roman" w:hAnsi="Times New Roman" w:eastAsia="宋体"/>
                <w:b/>
                <w:kern w:val="0"/>
                <w:sz w:val="18"/>
                <w:szCs w:val="18"/>
              </w:rPr>
            </w:pPr>
            <w:r>
              <w:rPr>
                <w:rFonts w:ascii="Times New Roman" w:hAnsi="Times New Roman" w:eastAsia="宋体"/>
                <w:b/>
                <w:kern w:val="0"/>
                <w:sz w:val="18"/>
                <w:szCs w:val="18"/>
              </w:rPr>
              <w:t>20x7</w:t>
            </w:r>
            <w:r>
              <w:rPr>
                <w:rFonts w:ascii="Times New Roman" w:hAnsi="宋体" w:eastAsia="宋体"/>
                <w:b/>
                <w:kern w:val="0"/>
                <w:sz w:val="18"/>
                <w:szCs w:val="18"/>
              </w:rPr>
              <w:t>年</w:t>
            </w:r>
          </w:p>
        </w:tc>
        <w:tc>
          <w:tcPr>
            <w:tcW w:w="1295" w:type="dxa"/>
            <w:vAlign w:val="center"/>
          </w:tcPr>
          <w:p>
            <w:pPr>
              <w:widowControl/>
              <w:spacing w:line="240" w:lineRule="auto"/>
              <w:jc w:val="center"/>
              <w:rPr>
                <w:rFonts w:ascii="Times New Roman" w:hAnsi="Times New Roman" w:eastAsia="宋体"/>
                <w:b/>
                <w:kern w:val="0"/>
                <w:sz w:val="18"/>
                <w:szCs w:val="18"/>
              </w:rPr>
            </w:pPr>
            <w:r>
              <w:rPr>
                <w:rFonts w:ascii="Times New Roman" w:hAnsi="Times New Roman" w:eastAsia="宋体"/>
                <w:b/>
                <w:kern w:val="0"/>
                <w:sz w:val="18"/>
                <w:szCs w:val="18"/>
              </w:rPr>
              <w:t>20x8</w:t>
            </w:r>
            <w:r>
              <w:rPr>
                <w:rFonts w:ascii="Times New Roman" w:hAnsi="宋体" w:eastAsia="宋体"/>
                <w:b/>
                <w:kern w:val="0"/>
                <w:sz w:val="18"/>
                <w:szCs w:val="1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039" w:type="dxa"/>
            <w:vAlign w:val="center"/>
          </w:tcPr>
          <w:p>
            <w:pPr>
              <w:widowControl/>
              <w:spacing w:line="240" w:lineRule="auto"/>
              <w:jc w:val="left"/>
              <w:rPr>
                <w:rFonts w:ascii="Times New Roman" w:hAnsi="Times New Roman" w:eastAsia="宋体"/>
                <w:kern w:val="0"/>
                <w:sz w:val="18"/>
                <w:szCs w:val="18"/>
              </w:rPr>
            </w:pPr>
            <w:r>
              <w:rPr>
                <w:rFonts w:ascii="Times New Roman" w:hAnsi="宋体" w:eastAsia="宋体"/>
                <w:kern w:val="0"/>
                <w:sz w:val="18"/>
                <w:szCs w:val="18"/>
              </w:rPr>
              <w:t>核心一级资本充足率</w:t>
            </w:r>
          </w:p>
        </w:tc>
        <w:tc>
          <w:tcPr>
            <w:tcW w:w="1297" w:type="dxa"/>
            <w:vAlign w:val="center"/>
          </w:tcPr>
          <w:p>
            <w:pPr>
              <w:spacing w:line="240" w:lineRule="auto"/>
              <w:jc w:val="right"/>
              <w:rPr>
                <w:rFonts w:ascii="Times New Roman" w:hAnsi="Times New Roman" w:eastAsia="宋体"/>
                <w:sz w:val="18"/>
                <w:szCs w:val="18"/>
              </w:rPr>
            </w:pPr>
            <w:r>
              <w:rPr>
                <w:rFonts w:ascii="Times New Roman" w:hAnsi="Times New Roman" w:eastAsia="宋体"/>
                <w:sz w:val="18"/>
                <w:szCs w:val="18"/>
              </w:rPr>
              <w:t>8.56%</w:t>
            </w:r>
          </w:p>
        </w:tc>
        <w:tc>
          <w:tcPr>
            <w:tcW w:w="1297" w:type="dxa"/>
            <w:vAlign w:val="center"/>
          </w:tcPr>
          <w:p>
            <w:pPr>
              <w:spacing w:line="240" w:lineRule="auto"/>
              <w:jc w:val="right"/>
              <w:rPr>
                <w:rFonts w:ascii="Times New Roman" w:hAnsi="Times New Roman" w:eastAsia="宋体"/>
                <w:sz w:val="18"/>
                <w:szCs w:val="18"/>
              </w:rPr>
            </w:pPr>
            <w:r>
              <w:rPr>
                <w:rFonts w:ascii="Times New Roman" w:hAnsi="Times New Roman" w:eastAsia="宋体"/>
                <w:sz w:val="18"/>
                <w:szCs w:val="18"/>
              </w:rPr>
              <w:t>8.81%</w:t>
            </w:r>
          </w:p>
        </w:tc>
        <w:tc>
          <w:tcPr>
            <w:tcW w:w="1297" w:type="dxa"/>
            <w:vAlign w:val="center"/>
          </w:tcPr>
          <w:p>
            <w:pPr>
              <w:spacing w:line="240" w:lineRule="auto"/>
              <w:jc w:val="right"/>
              <w:rPr>
                <w:rFonts w:ascii="Times New Roman" w:hAnsi="Times New Roman" w:eastAsia="宋体"/>
                <w:sz w:val="18"/>
                <w:szCs w:val="18"/>
              </w:rPr>
            </w:pPr>
            <w:r>
              <w:rPr>
                <w:rFonts w:ascii="Times New Roman" w:hAnsi="Times New Roman" w:eastAsia="宋体"/>
                <w:sz w:val="18"/>
                <w:szCs w:val="18"/>
              </w:rPr>
              <w:t>9.03%</w:t>
            </w:r>
          </w:p>
        </w:tc>
        <w:tc>
          <w:tcPr>
            <w:tcW w:w="1297" w:type="dxa"/>
            <w:vAlign w:val="center"/>
          </w:tcPr>
          <w:p>
            <w:pPr>
              <w:spacing w:line="240" w:lineRule="auto"/>
              <w:jc w:val="right"/>
              <w:rPr>
                <w:rFonts w:ascii="Times New Roman" w:hAnsi="Times New Roman" w:eastAsia="宋体"/>
                <w:sz w:val="18"/>
                <w:szCs w:val="18"/>
              </w:rPr>
            </w:pPr>
            <w:r>
              <w:rPr>
                <w:rFonts w:ascii="Times New Roman" w:hAnsi="Times New Roman" w:eastAsia="宋体"/>
                <w:sz w:val="18"/>
                <w:szCs w:val="18"/>
              </w:rPr>
              <w:t>9.22%</w:t>
            </w:r>
          </w:p>
        </w:tc>
        <w:tc>
          <w:tcPr>
            <w:tcW w:w="1295" w:type="dxa"/>
            <w:vAlign w:val="center"/>
          </w:tcPr>
          <w:p>
            <w:pPr>
              <w:spacing w:line="240" w:lineRule="auto"/>
              <w:jc w:val="right"/>
              <w:rPr>
                <w:rFonts w:ascii="Times New Roman" w:hAnsi="Times New Roman" w:eastAsia="宋体"/>
                <w:sz w:val="18"/>
                <w:szCs w:val="18"/>
              </w:rPr>
            </w:pPr>
            <w:r>
              <w:rPr>
                <w:rFonts w:ascii="Times New Roman" w:hAnsi="Times New Roman" w:eastAsia="宋体"/>
                <w:sz w:val="18"/>
                <w:szCs w:val="18"/>
              </w:rPr>
              <w:t>9.36%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039" w:type="dxa"/>
            <w:vAlign w:val="center"/>
          </w:tcPr>
          <w:p>
            <w:pPr>
              <w:widowControl/>
              <w:spacing w:line="240" w:lineRule="auto"/>
              <w:jc w:val="left"/>
              <w:rPr>
                <w:rFonts w:ascii="Times New Roman" w:hAnsi="Times New Roman" w:eastAsia="宋体"/>
                <w:kern w:val="0"/>
                <w:sz w:val="18"/>
                <w:szCs w:val="18"/>
              </w:rPr>
            </w:pPr>
            <w:r>
              <w:rPr>
                <w:rFonts w:ascii="Times New Roman" w:hAnsi="宋体" w:eastAsia="宋体"/>
                <w:kern w:val="0"/>
                <w:sz w:val="18"/>
                <w:szCs w:val="18"/>
              </w:rPr>
              <w:t>一级资本充足率</w:t>
            </w:r>
          </w:p>
        </w:tc>
        <w:tc>
          <w:tcPr>
            <w:tcW w:w="1297" w:type="dxa"/>
            <w:vAlign w:val="center"/>
          </w:tcPr>
          <w:p>
            <w:pPr>
              <w:spacing w:line="240" w:lineRule="auto"/>
              <w:jc w:val="right"/>
              <w:rPr>
                <w:rFonts w:ascii="Times New Roman" w:hAnsi="Times New Roman" w:eastAsia="宋体"/>
                <w:sz w:val="18"/>
                <w:szCs w:val="18"/>
              </w:rPr>
            </w:pPr>
            <w:r>
              <w:rPr>
                <w:rFonts w:ascii="Times New Roman" w:hAnsi="Times New Roman" w:eastAsia="宋体"/>
                <w:sz w:val="18"/>
                <w:szCs w:val="18"/>
              </w:rPr>
              <w:t>8.56%</w:t>
            </w:r>
          </w:p>
        </w:tc>
        <w:tc>
          <w:tcPr>
            <w:tcW w:w="1297" w:type="dxa"/>
            <w:vAlign w:val="center"/>
          </w:tcPr>
          <w:p>
            <w:pPr>
              <w:spacing w:line="240" w:lineRule="auto"/>
              <w:jc w:val="right"/>
              <w:rPr>
                <w:rFonts w:ascii="Times New Roman" w:hAnsi="Times New Roman" w:eastAsia="宋体"/>
                <w:sz w:val="18"/>
                <w:szCs w:val="18"/>
              </w:rPr>
            </w:pPr>
            <w:r>
              <w:rPr>
                <w:rFonts w:ascii="Times New Roman" w:hAnsi="Times New Roman" w:eastAsia="宋体"/>
                <w:sz w:val="18"/>
                <w:szCs w:val="18"/>
              </w:rPr>
              <w:t>8.81%</w:t>
            </w:r>
          </w:p>
        </w:tc>
        <w:tc>
          <w:tcPr>
            <w:tcW w:w="1297" w:type="dxa"/>
            <w:vAlign w:val="center"/>
          </w:tcPr>
          <w:p>
            <w:pPr>
              <w:spacing w:line="240" w:lineRule="auto"/>
              <w:jc w:val="right"/>
              <w:rPr>
                <w:rFonts w:ascii="Times New Roman" w:hAnsi="Times New Roman" w:eastAsia="宋体"/>
                <w:sz w:val="18"/>
                <w:szCs w:val="18"/>
              </w:rPr>
            </w:pPr>
            <w:r>
              <w:rPr>
                <w:rFonts w:ascii="Times New Roman" w:hAnsi="Times New Roman" w:eastAsia="宋体"/>
                <w:sz w:val="18"/>
                <w:szCs w:val="18"/>
              </w:rPr>
              <w:t>9.03%</w:t>
            </w:r>
          </w:p>
        </w:tc>
        <w:tc>
          <w:tcPr>
            <w:tcW w:w="1297" w:type="dxa"/>
            <w:vAlign w:val="center"/>
          </w:tcPr>
          <w:p>
            <w:pPr>
              <w:spacing w:line="240" w:lineRule="auto"/>
              <w:jc w:val="right"/>
              <w:rPr>
                <w:rFonts w:ascii="Times New Roman" w:hAnsi="Times New Roman" w:eastAsia="宋体"/>
                <w:sz w:val="18"/>
                <w:szCs w:val="18"/>
              </w:rPr>
            </w:pPr>
            <w:r>
              <w:rPr>
                <w:rFonts w:ascii="Times New Roman" w:hAnsi="Times New Roman" w:eastAsia="宋体"/>
                <w:sz w:val="18"/>
                <w:szCs w:val="18"/>
              </w:rPr>
              <w:t>9.22%</w:t>
            </w:r>
          </w:p>
        </w:tc>
        <w:tc>
          <w:tcPr>
            <w:tcW w:w="1295" w:type="dxa"/>
            <w:vAlign w:val="center"/>
          </w:tcPr>
          <w:p>
            <w:pPr>
              <w:spacing w:line="240" w:lineRule="auto"/>
              <w:jc w:val="right"/>
              <w:rPr>
                <w:rFonts w:ascii="Times New Roman" w:hAnsi="Times New Roman" w:eastAsia="宋体"/>
                <w:sz w:val="18"/>
                <w:szCs w:val="18"/>
              </w:rPr>
            </w:pPr>
            <w:r>
              <w:rPr>
                <w:rFonts w:ascii="Times New Roman" w:hAnsi="Times New Roman" w:eastAsia="宋体"/>
                <w:sz w:val="18"/>
                <w:szCs w:val="18"/>
              </w:rPr>
              <w:t>9.36%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039" w:type="dxa"/>
            <w:vAlign w:val="center"/>
          </w:tcPr>
          <w:p>
            <w:pPr>
              <w:widowControl/>
              <w:spacing w:line="240" w:lineRule="auto"/>
              <w:jc w:val="left"/>
              <w:rPr>
                <w:rFonts w:ascii="Times New Roman" w:hAnsi="Times New Roman" w:eastAsia="宋体"/>
                <w:kern w:val="0"/>
                <w:sz w:val="18"/>
                <w:szCs w:val="18"/>
              </w:rPr>
            </w:pPr>
            <w:r>
              <w:rPr>
                <w:rFonts w:ascii="Times New Roman" w:hAnsi="宋体" w:eastAsia="宋体"/>
                <w:kern w:val="0"/>
                <w:sz w:val="18"/>
                <w:szCs w:val="18"/>
              </w:rPr>
              <w:t>资本充足率</w:t>
            </w:r>
          </w:p>
        </w:tc>
        <w:tc>
          <w:tcPr>
            <w:tcW w:w="1297" w:type="dxa"/>
            <w:vAlign w:val="center"/>
          </w:tcPr>
          <w:p>
            <w:pPr>
              <w:spacing w:line="240" w:lineRule="auto"/>
              <w:jc w:val="right"/>
              <w:rPr>
                <w:rFonts w:ascii="Times New Roman" w:hAnsi="Times New Roman" w:eastAsia="宋体"/>
                <w:sz w:val="18"/>
                <w:szCs w:val="18"/>
              </w:rPr>
            </w:pPr>
            <w:r>
              <w:rPr>
                <w:rFonts w:ascii="Times New Roman" w:hAnsi="Times New Roman" w:eastAsia="宋体"/>
                <w:sz w:val="18"/>
                <w:szCs w:val="18"/>
              </w:rPr>
              <w:t>10.512%</w:t>
            </w:r>
          </w:p>
        </w:tc>
        <w:tc>
          <w:tcPr>
            <w:tcW w:w="1297" w:type="dxa"/>
            <w:vAlign w:val="center"/>
          </w:tcPr>
          <w:p>
            <w:pPr>
              <w:spacing w:line="240" w:lineRule="auto"/>
              <w:jc w:val="right"/>
              <w:rPr>
                <w:rFonts w:ascii="Times New Roman" w:hAnsi="Times New Roman" w:eastAsia="宋体"/>
                <w:sz w:val="18"/>
                <w:szCs w:val="18"/>
              </w:rPr>
            </w:pPr>
            <w:r>
              <w:rPr>
                <w:rFonts w:ascii="Times New Roman" w:hAnsi="Times New Roman" w:eastAsia="宋体"/>
                <w:sz w:val="18"/>
                <w:szCs w:val="18"/>
              </w:rPr>
              <w:t>10.503%</w:t>
            </w:r>
          </w:p>
        </w:tc>
        <w:tc>
          <w:tcPr>
            <w:tcW w:w="1297" w:type="dxa"/>
            <w:vAlign w:val="center"/>
          </w:tcPr>
          <w:p>
            <w:pPr>
              <w:spacing w:line="240" w:lineRule="auto"/>
              <w:jc w:val="right"/>
              <w:rPr>
                <w:rFonts w:ascii="Times New Roman" w:hAnsi="Times New Roman" w:eastAsia="宋体"/>
                <w:sz w:val="18"/>
                <w:szCs w:val="18"/>
              </w:rPr>
            </w:pPr>
            <w:r>
              <w:rPr>
                <w:rFonts w:ascii="Times New Roman" w:hAnsi="Times New Roman" w:eastAsia="宋体"/>
                <w:sz w:val="18"/>
                <w:szCs w:val="18"/>
              </w:rPr>
              <w:t>10.502%</w:t>
            </w:r>
          </w:p>
        </w:tc>
        <w:tc>
          <w:tcPr>
            <w:tcW w:w="1297" w:type="dxa"/>
            <w:vAlign w:val="center"/>
          </w:tcPr>
          <w:p>
            <w:pPr>
              <w:spacing w:line="240" w:lineRule="auto"/>
              <w:jc w:val="right"/>
              <w:rPr>
                <w:rFonts w:ascii="Times New Roman" w:hAnsi="Times New Roman" w:eastAsia="宋体"/>
                <w:sz w:val="18"/>
                <w:szCs w:val="18"/>
              </w:rPr>
            </w:pPr>
            <w:r>
              <w:rPr>
                <w:rFonts w:ascii="Times New Roman" w:hAnsi="Times New Roman" w:eastAsia="宋体"/>
                <w:sz w:val="18"/>
                <w:szCs w:val="18"/>
              </w:rPr>
              <w:t>10.512%</w:t>
            </w:r>
          </w:p>
        </w:tc>
        <w:tc>
          <w:tcPr>
            <w:tcW w:w="1295" w:type="dxa"/>
            <w:vAlign w:val="center"/>
          </w:tcPr>
          <w:p>
            <w:pPr>
              <w:spacing w:line="240" w:lineRule="auto"/>
              <w:jc w:val="right"/>
              <w:rPr>
                <w:rFonts w:ascii="Times New Roman" w:hAnsi="Times New Roman" w:eastAsia="宋体"/>
                <w:sz w:val="18"/>
                <w:szCs w:val="18"/>
              </w:rPr>
            </w:pPr>
            <w:r>
              <w:rPr>
                <w:rFonts w:ascii="Times New Roman" w:hAnsi="Times New Roman" w:eastAsia="宋体"/>
                <w:sz w:val="18"/>
                <w:szCs w:val="18"/>
              </w:rPr>
              <w:t>10.505%</w:t>
            </w:r>
          </w:p>
        </w:tc>
      </w:tr>
    </w:tbl>
    <w:p>
      <w:pPr>
        <w:spacing w:line="360" w:lineRule="auto"/>
        <w:ind w:firstLine="584" w:firstLineChars="200"/>
        <w:rPr>
          <w:rFonts w:ascii="Times New Roman" w:hAnsi="Times New Roman"/>
          <w:sz w:val="28"/>
          <w:szCs w:val="28"/>
        </w:rPr>
      </w:pPr>
    </w:p>
    <w:p>
      <w:pPr>
        <w:spacing w:line="360" w:lineRule="auto"/>
        <w:ind w:firstLine="584" w:firstLineChars="200"/>
        <w:rPr>
          <w:rFonts w:ascii="Times New Roman" w:hAnsi="Times New Roman"/>
          <w:sz w:val="28"/>
          <w:szCs w:val="28"/>
        </w:rPr>
      </w:pPr>
      <w:r>
        <w:rPr>
          <w:rFonts w:ascii="Times New Roman" w:hAnsi="Times New Roman"/>
          <w:sz w:val="28"/>
          <w:szCs w:val="28"/>
        </w:rPr>
        <w:t>综上，对xx银行所有者权益的预测如下表所示。</w:t>
      </w:r>
    </w:p>
    <w:tbl>
      <w:tblPr>
        <w:tblStyle w:val="27"/>
        <w:tblW w:w="91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36"/>
        <w:gridCol w:w="1387"/>
        <w:gridCol w:w="1387"/>
        <w:gridCol w:w="1387"/>
        <w:gridCol w:w="1387"/>
        <w:gridCol w:w="15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blHeader/>
        </w:trPr>
        <w:tc>
          <w:tcPr>
            <w:tcW w:w="2036" w:type="dxa"/>
            <w:tcBorders>
              <w:top w:val="single" w:color="auto" w:sz="8" w:space="0"/>
              <w:left w:val="single" w:color="auto" w:sz="8" w:space="0"/>
              <w:bottom w:val="single" w:color="auto" w:sz="4" w:space="0"/>
              <w:right w:val="single" w:color="auto" w:sz="4" w:space="0"/>
            </w:tcBorders>
            <w:vAlign w:val="center"/>
          </w:tcPr>
          <w:p>
            <w:pPr>
              <w:widowControl/>
              <w:spacing w:line="240" w:lineRule="auto"/>
              <w:jc w:val="center"/>
              <w:rPr>
                <w:rFonts w:ascii="Times New Roman" w:hAnsi="Times New Roman" w:eastAsia="宋体"/>
                <w:b/>
                <w:bCs/>
                <w:spacing w:val="0"/>
                <w:kern w:val="0"/>
                <w:sz w:val="18"/>
                <w:szCs w:val="18"/>
              </w:rPr>
            </w:pPr>
            <w:r>
              <w:rPr>
                <w:rFonts w:ascii="Times New Roman" w:hAnsi="Times New Roman" w:eastAsia="宋体"/>
                <w:b/>
                <w:bCs/>
                <w:spacing w:val="0"/>
                <w:kern w:val="0"/>
                <w:sz w:val="18"/>
                <w:szCs w:val="18"/>
              </w:rPr>
              <w:t>科目</w:t>
            </w:r>
          </w:p>
        </w:tc>
        <w:tc>
          <w:tcPr>
            <w:tcW w:w="1387" w:type="dxa"/>
            <w:tcBorders>
              <w:top w:val="single" w:color="auto" w:sz="8" w:space="0"/>
              <w:left w:val="nil"/>
              <w:bottom w:val="single" w:color="auto" w:sz="4" w:space="0"/>
              <w:right w:val="single" w:color="auto" w:sz="4" w:space="0"/>
            </w:tcBorders>
            <w:vAlign w:val="center"/>
          </w:tcPr>
          <w:p>
            <w:pPr>
              <w:widowControl/>
              <w:spacing w:line="240" w:lineRule="auto"/>
              <w:jc w:val="center"/>
              <w:rPr>
                <w:rFonts w:ascii="Times New Roman" w:hAnsi="Times New Roman" w:eastAsia="宋体"/>
                <w:b/>
                <w:spacing w:val="0"/>
                <w:kern w:val="0"/>
                <w:sz w:val="20"/>
                <w:szCs w:val="20"/>
              </w:rPr>
            </w:pPr>
            <w:r>
              <w:rPr>
                <w:rFonts w:ascii="Times New Roman" w:hAnsi="Times New Roman" w:eastAsia="宋体"/>
                <w:b/>
                <w:spacing w:val="0"/>
                <w:kern w:val="0"/>
                <w:sz w:val="20"/>
                <w:szCs w:val="20"/>
              </w:rPr>
              <w:t>20</w:t>
            </w:r>
            <w:r>
              <w:rPr>
                <w:rFonts w:hint="eastAsia" w:ascii="Times New Roman" w:hAnsi="Times New Roman" w:eastAsia="宋体"/>
                <w:b/>
                <w:spacing w:val="0"/>
                <w:kern w:val="0"/>
                <w:sz w:val="20"/>
                <w:szCs w:val="20"/>
              </w:rPr>
              <w:t>x</w:t>
            </w:r>
            <w:r>
              <w:rPr>
                <w:rFonts w:ascii="Times New Roman" w:hAnsi="Times New Roman" w:eastAsia="宋体"/>
                <w:b/>
                <w:spacing w:val="0"/>
                <w:kern w:val="0"/>
                <w:sz w:val="20"/>
                <w:szCs w:val="20"/>
              </w:rPr>
              <w:t>4年</w:t>
            </w:r>
          </w:p>
        </w:tc>
        <w:tc>
          <w:tcPr>
            <w:tcW w:w="1387" w:type="dxa"/>
            <w:tcBorders>
              <w:top w:val="single" w:color="auto" w:sz="8" w:space="0"/>
              <w:left w:val="nil"/>
              <w:bottom w:val="single" w:color="auto" w:sz="4" w:space="0"/>
              <w:right w:val="single" w:color="auto" w:sz="4" w:space="0"/>
            </w:tcBorders>
            <w:vAlign w:val="center"/>
          </w:tcPr>
          <w:p>
            <w:pPr>
              <w:widowControl/>
              <w:spacing w:line="240" w:lineRule="auto"/>
              <w:jc w:val="center"/>
              <w:rPr>
                <w:rFonts w:ascii="Times New Roman" w:hAnsi="Times New Roman" w:eastAsia="宋体"/>
                <w:b/>
                <w:spacing w:val="0"/>
                <w:kern w:val="0"/>
                <w:sz w:val="20"/>
                <w:szCs w:val="20"/>
              </w:rPr>
            </w:pPr>
            <w:r>
              <w:rPr>
                <w:rFonts w:ascii="Times New Roman" w:hAnsi="Times New Roman" w:eastAsia="宋体"/>
                <w:b/>
                <w:spacing w:val="0"/>
                <w:kern w:val="0"/>
                <w:sz w:val="20"/>
                <w:szCs w:val="20"/>
              </w:rPr>
              <w:t>20</w:t>
            </w:r>
            <w:r>
              <w:rPr>
                <w:rFonts w:hint="eastAsia" w:ascii="Times New Roman" w:hAnsi="Times New Roman" w:eastAsia="宋体"/>
                <w:b/>
                <w:spacing w:val="0"/>
                <w:kern w:val="0"/>
                <w:sz w:val="20"/>
                <w:szCs w:val="20"/>
              </w:rPr>
              <w:t>x</w:t>
            </w:r>
            <w:r>
              <w:rPr>
                <w:rFonts w:ascii="Times New Roman" w:hAnsi="Times New Roman" w:eastAsia="宋体"/>
                <w:b/>
                <w:spacing w:val="0"/>
                <w:kern w:val="0"/>
                <w:sz w:val="20"/>
                <w:szCs w:val="20"/>
              </w:rPr>
              <w:t>5年</w:t>
            </w:r>
          </w:p>
        </w:tc>
        <w:tc>
          <w:tcPr>
            <w:tcW w:w="1387" w:type="dxa"/>
            <w:tcBorders>
              <w:top w:val="single" w:color="auto" w:sz="8" w:space="0"/>
              <w:left w:val="nil"/>
              <w:bottom w:val="single" w:color="auto" w:sz="4" w:space="0"/>
              <w:right w:val="single" w:color="auto" w:sz="4" w:space="0"/>
            </w:tcBorders>
            <w:vAlign w:val="center"/>
          </w:tcPr>
          <w:p>
            <w:pPr>
              <w:widowControl/>
              <w:spacing w:line="240" w:lineRule="auto"/>
              <w:jc w:val="center"/>
              <w:rPr>
                <w:rFonts w:ascii="Times New Roman" w:hAnsi="Times New Roman" w:eastAsia="宋体"/>
                <w:b/>
                <w:spacing w:val="0"/>
                <w:kern w:val="0"/>
                <w:sz w:val="20"/>
                <w:szCs w:val="20"/>
              </w:rPr>
            </w:pPr>
            <w:r>
              <w:rPr>
                <w:rFonts w:ascii="Times New Roman" w:hAnsi="Times New Roman" w:eastAsia="宋体"/>
                <w:b/>
                <w:spacing w:val="0"/>
                <w:kern w:val="0"/>
                <w:sz w:val="20"/>
                <w:szCs w:val="20"/>
              </w:rPr>
              <w:t>20</w:t>
            </w:r>
            <w:r>
              <w:rPr>
                <w:rFonts w:hint="eastAsia" w:ascii="Times New Roman" w:hAnsi="Times New Roman" w:eastAsia="宋体"/>
                <w:b/>
                <w:spacing w:val="0"/>
                <w:kern w:val="0"/>
                <w:sz w:val="20"/>
                <w:szCs w:val="20"/>
              </w:rPr>
              <w:t>x</w:t>
            </w:r>
            <w:r>
              <w:rPr>
                <w:rFonts w:ascii="Times New Roman" w:hAnsi="Times New Roman" w:eastAsia="宋体"/>
                <w:b/>
                <w:spacing w:val="0"/>
                <w:kern w:val="0"/>
                <w:sz w:val="20"/>
                <w:szCs w:val="20"/>
              </w:rPr>
              <w:t>6年</w:t>
            </w:r>
          </w:p>
        </w:tc>
        <w:tc>
          <w:tcPr>
            <w:tcW w:w="1387" w:type="dxa"/>
            <w:tcBorders>
              <w:top w:val="single" w:color="auto" w:sz="8" w:space="0"/>
              <w:left w:val="nil"/>
              <w:bottom w:val="single" w:color="auto" w:sz="4" w:space="0"/>
              <w:right w:val="single" w:color="auto" w:sz="4" w:space="0"/>
            </w:tcBorders>
            <w:vAlign w:val="center"/>
          </w:tcPr>
          <w:p>
            <w:pPr>
              <w:widowControl/>
              <w:spacing w:line="240" w:lineRule="auto"/>
              <w:jc w:val="center"/>
              <w:rPr>
                <w:rFonts w:ascii="Times New Roman" w:hAnsi="Times New Roman" w:eastAsia="宋体"/>
                <w:b/>
                <w:spacing w:val="0"/>
                <w:kern w:val="0"/>
                <w:sz w:val="20"/>
                <w:szCs w:val="20"/>
              </w:rPr>
            </w:pPr>
            <w:r>
              <w:rPr>
                <w:rFonts w:ascii="Times New Roman" w:hAnsi="Times New Roman" w:eastAsia="宋体"/>
                <w:b/>
                <w:spacing w:val="0"/>
                <w:kern w:val="0"/>
                <w:sz w:val="20"/>
                <w:szCs w:val="20"/>
              </w:rPr>
              <w:t>20</w:t>
            </w:r>
            <w:r>
              <w:rPr>
                <w:rFonts w:hint="eastAsia" w:ascii="Times New Roman" w:hAnsi="Times New Roman" w:eastAsia="宋体"/>
                <w:b/>
                <w:spacing w:val="0"/>
                <w:kern w:val="0"/>
                <w:sz w:val="20"/>
                <w:szCs w:val="20"/>
              </w:rPr>
              <w:t>x</w:t>
            </w:r>
            <w:r>
              <w:rPr>
                <w:rFonts w:ascii="Times New Roman" w:hAnsi="Times New Roman" w:eastAsia="宋体"/>
                <w:b/>
                <w:spacing w:val="0"/>
                <w:kern w:val="0"/>
                <w:sz w:val="20"/>
                <w:szCs w:val="20"/>
              </w:rPr>
              <w:t>7年</w:t>
            </w:r>
          </w:p>
        </w:tc>
        <w:tc>
          <w:tcPr>
            <w:tcW w:w="1578" w:type="dxa"/>
            <w:tcBorders>
              <w:top w:val="single" w:color="auto" w:sz="8" w:space="0"/>
              <w:left w:val="nil"/>
              <w:bottom w:val="single" w:color="auto" w:sz="4" w:space="0"/>
              <w:right w:val="single" w:color="auto" w:sz="4" w:space="0"/>
            </w:tcBorders>
            <w:vAlign w:val="center"/>
          </w:tcPr>
          <w:p>
            <w:pPr>
              <w:widowControl/>
              <w:spacing w:line="240" w:lineRule="auto"/>
              <w:jc w:val="center"/>
              <w:rPr>
                <w:rFonts w:ascii="Times New Roman" w:hAnsi="Times New Roman" w:eastAsia="宋体"/>
                <w:b/>
                <w:spacing w:val="0"/>
                <w:kern w:val="0"/>
                <w:sz w:val="20"/>
                <w:szCs w:val="20"/>
              </w:rPr>
            </w:pPr>
            <w:r>
              <w:rPr>
                <w:rFonts w:ascii="Times New Roman" w:hAnsi="Times New Roman" w:eastAsia="宋体"/>
                <w:b/>
                <w:spacing w:val="0"/>
                <w:kern w:val="0"/>
                <w:sz w:val="20"/>
                <w:szCs w:val="20"/>
              </w:rPr>
              <w:t>20</w:t>
            </w:r>
            <w:r>
              <w:rPr>
                <w:rFonts w:hint="eastAsia" w:ascii="Times New Roman" w:hAnsi="Times New Roman" w:eastAsia="宋体"/>
                <w:b/>
                <w:spacing w:val="0"/>
                <w:kern w:val="0"/>
                <w:sz w:val="20"/>
                <w:szCs w:val="20"/>
              </w:rPr>
              <w:t>x</w:t>
            </w:r>
            <w:r>
              <w:rPr>
                <w:rFonts w:ascii="Times New Roman" w:hAnsi="Times New Roman" w:eastAsia="宋体"/>
                <w:b/>
                <w:spacing w:val="0"/>
                <w:kern w:val="0"/>
                <w:sz w:val="20"/>
                <w:szCs w:val="20"/>
              </w:rPr>
              <w:t>8年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2036" w:type="dxa"/>
            <w:tcBorders>
              <w:top w:val="nil"/>
              <w:left w:val="single" w:color="auto" w:sz="8" w:space="0"/>
              <w:bottom w:val="single" w:color="auto" w:sz="4" w:space="0"/>
              <w:right w:val="single" w:color="auto" w:sz="4" w:space="0"/>
            </w:tcBorders>
            <w:vAlign w:val="center"/>
          </w:tcPr>
          <w:p>
            <w:pPr>
              <w:widowControl/>
              <w:spacing w:line="240" w:lineRule="auto"/>
              <w:jc w:val="left"/>
              <w:rPr>
                <w:rFonts w:ascii="Times New Roman" w:hAnsi="Times New Roman" w:eastAsia="宋体"/>
                <w:bCs/>
                <w:spacing w:val="0"/>
                <w:kern w:val="0"/>
                <w:sz w:val="18"/>
                <w:szCs w:val="18"/>
              </w:rPr>
            </w:pPr>
            <w:r>
              <w:rPr>
                <w:rFonts w:ascii="Times New Roman" w:hAnsi="Times New Roman" w:eastAsia="宋体"/>
                <w:bCs/>
                <w:spacing w:val="0"/>
                <w:kern w:val="0"/>
                <w:sz w:val="18"/>
                <w:szCs w:val="18"/>
              </w:rPr>
              <w:t>所有者权益：</w:t>
            </w:r>
          </w:p>
        </w:tc>
        <w:tc>
          <w:tcPr>
            <w:tcW w:w="1387"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p>
        </w:tc>
        <w:tc>
          <w:tcPr>
            <w:tcW w:w="1387"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p>
        </w:tc>
        <w:tc>
          <w:tcPr>
            <w:tcW w:w="1387"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p>
        </w:tc>
        <w:tc>
          <w:tcPr>
            <w:tcW w:w="1387"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p>
        </w:tc>
        <w:tc>
          <w:tcPr>
            <w:tcW w:w="1578"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2036" w:type="dxa"/>
            <w:tcBorders>
              <w:top w:val="nil"/>
              <w:left w:val="single" w:color="auto" w:sz="8" w:space="0"/>
              <w:bottom w:val="single" w:color="auto" w:sz="4" w:space="0"/>
              <w:right w:val="single" w:color="auto" w:sz="4" w:space="0"/>
            </w:tcBorders>
            <w:vAlign w:val="center"/>
          </w:tcPr>
          <w:p>
            <w:pPr>
              <w:widowControl/>
              <w:spacing w:line="240" w:lineRule="auto"/>
              <w:jc w:val="left"/>
              <w:rPr>
                <w:rFonts w:ascii="Times New Roman" w:hAnsi="Times New Roman" w:eastAsia="宋体"/>
                <w:bCs/>
                <w:spacing w:val="0"/>
                <w:kern w:val="0"/>
                <w:sz w:val="18"/>
                <w:szCs w:val="18"/>
              </w:rPr>
            </w:pPr>
            <w:r>
              <w:rPr>
                <w:rFonts w:ascii="Times New Roman" w:hAnsi="Times New Roman" w:eastAsia="宋体"/>
                <w:bCs/>
                <w:spacing w:val="0"/>
                <w:kern w:val="0"/>
                <w:sz w:val="18"/>
                <w:szCs w:val="18"/>
              </w:rPr>
              <w:t>股本:</w:t>
            </w:r>
          </w:p>
        </w:tc>
        <w:tc>
          <w:tcPr>
            <w:tcW w:w="1387"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p>
        </w:tc>
        <w:tc>
          <w:tcPr>
            <w:tcW w:w="1387"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p>
        </w:tc>
        <w:tc>
          <w:tcPr>
            <w:tcW w:w="1387"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p>
        </w:tc>
        <w:tc>
          <w:tcPr>
            <w:tcW w:w="1387"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p>
        </w:tc>
        <w:tc>
          <w:tcPr>
            <w:tcW w:w="1578"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2036" w:type="dxa"/>
            <w:tcBorders>
              <w:top w:val="nil"/>
              <w:left w:val="single" w:color="auto" w:sz="8" w:space="0"/>
              <w:bottom w:val="single" w:color="auto" w:sz="4" w:space="0"/>
              <w:right w:val="single" w:color="auto" w:sz="4" w:space="0"/>
            </w:tcBorders>
            <w:vAlign w:val="center"/>
          </w:tcPr>
          <w:p>
            <w:pPr>
              <w:widowControl/>
              <w:spacing w:line="240" w:lineRule="auto"/>
              <w:jc w:val="left"/>
              <w:rPr>
                <w:rFonts w:ascii="Times New Roman" w:hAnsi="Times New Roman" w:eastAsia="宋体"/>
                <w:spacing w:val="0"/>
                <w:kern w:val="0"/>
                <w:sz w:val="18"/>
                <w:szCs w:val="18"/>
              </w:rPr>
            </w:pPr>
            <w:r>
              <w:rPr>
                <w:rFonts w:ascii="Times New Roman" w:hAnsi="Times New Roman" w:eastAsia="宋体"/>
                <w:spacing w:val="0"/>
                <w:kern w:val="0"/>
                <w:sz w:val="18"/>
                <w:szCs w:val="18"/>
              </w:rPr>
              <w:t>年末股本</w:t>
            </w:r>
          </w:p>
        </w:tc>
        <w:tc>
          <w:tcPr>
            <w:tcW w:w="1387"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4,627,679.00</w:t>
            </w:r>
          </w:p>
        </w:tc>
        <w:tc>
          <w:tcPr>
            <w:tcW w:w="1387"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4,627,679.00</w:t>
            </w:r>
          </w:p>
        </w:tc>
        <w:tc>
          <w:tcPr>
            <w:tcW w:w="1387"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4,627,679.00</w:t>
            </w:r>
          </w:p>
        </w:tc>
        <w:tc>
          <w:tcPr>
            <w:tcW w:w="1387"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4,627,679.00</w:t>
            </w:r>
          </w:p>
        </w:tc>
        <w:tc>
          <w:tcPr>
            <w:tcW w:w="1578"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4,627,679.00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2036" w:type="dxa"/>
            <w:tcBorders>
              <w:top w:val="nil"/>
              <w:left w:val="single" w:color="auto" w:sz="8" w:space="0"/>
              <w:bottom w:val="single" w:color="auto" w:sz="4" w:space="0"/>
              <w:right w:val="single" w:color="auto" w:sz="4" w:space="0"/>
            </w:tcBorders>
            <w:vAlign w:val="center"/>
          </w:tcPr>
          <w:p>
            <w:pPr>
              <w:widowControl/>
              <w:spacing w:line="240" w:lineRule="auto"/>
              <w:jc w:val="left"/>
              <w:rPr>
                <w:rFonts w:ascii="Times New Roman" w:hAnsi="Times New Roman" w:eastAsia="宋体"/>
                <w:bCs/>
                <w:spacing w:val="0"/>
                <w:kern w:val="0"/>
                <w:sz w:val="18"/>
                <w:szCs w:val="18"/>
              </w:rPr>
            </w:pPr>
            <w:r>
              <w:rPr>
                <w:rFonts w:ascii="Times New Roman" w:hAnsi="Times New Roman" w:eastAsia="宋体"/>
                <w:bCs/>
                <w:spacing w:val="0"/>
                <w:kern w:val="0"/>
                <w:sz w:val="18"/>
                <w:szCs w:val="18"/>
              </w:rPr>
              <w:t>资本公积:</w:t>
            </w:r>
          </w:p>
        </w:tc>
        <w:tc>
          <w:tcPr>
            <w:tcW w:w="1387"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p>
        </w:tc>
        <w:tc>
          <w:tcPr>
            <w:tcW w:w="1387"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p>
        </w:tc>
        <w:tc>
          <w:tcPr>
            <w:tcW w:w="1387"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p>
        </w:tc>
        <w:tc>
          <w:tcPr>
            <w:tcW w:w="1387"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p>
        </w:tc>
        <w:tc>
          <w:tcPr>
            <w:tcW w:w="1578"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2036" w:type="dxa"/>
            <w:tcBorders>
              <w:top w:val="nil"/>
              <w:left w:val="single" w:color="auto" w:sz="8" w:space="0"/>
              <w:bottom w:val="single" w:color="auto" w:sz="4" w:space="0"/>
              <w:right w:val="single" w:color="auto" w:sz="4" w:space="0"/>
            </w:tcBorders>
            <w:vAlign w:val="center"/>
          </w:tcPr>
          <w:p>
            <w:pPr>
              <w:widowControl/>
              <w:spacing w:line="240" w:lineRule="auto"/>
              <w:jc w:val="left"/>
              <w:rPr>
                <w:rFonts w:ascii="Times New Roman" w:hAnsi="Times New Roman" w:eastAsia="宋体"/>
                <w:spacing w:val="0"/>
                <w:kern w:val="0"/>
                <w:sz w:val="18"/>
                <w:szCs w:val="18"/>
              </w:rPr>
            </w:pPr>
            <w:r>
              <w:rPr>
                <w:rFonts w:ascii="Times New Roman" w:hAnsi="Times New Roman" w:eastAsia="宋体"/>
                <w:spacing w:val="0"/>
                <w:kern w:val="0"/>
                <w:sz w:val="18"/>
                <w:szCs w:val="18"/>
              </w:rPr>
              <w:t>年末资本公积</w:t>
            </w:r>
          </w:p>
        </w:tc>
        <w:tc>
          <w:tcPr>
            <w:tcW w:w="1387"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2,870,767.50</w:t>
            </w:r>
          </w:p>
        </w:tc>
        <w:tc>
          <w:tcPr>
            <w:tcW w:w="1387"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2,870,767.50</w:t>
            </w:r>
          </w:p>
        </w:tc>
        <w:tc>
          <w:tcPr>
            <w:tcW w:w="1387"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2,870,767.50</w:t>
            </w:r>
          </w:p>
        </w:tc>
        <w:tc>
          <w:tcPr>
            <w:tcW w:w="1387"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2,870,767.50</w:t>
            </w:r>
          </w:p>
        </w:tc>
        <w:tc>
          <w:tcPr>
            <w:tcW w:w="1578"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2,870,767.50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2036" w:type="dxa"/>
            <w:tcBorders>
              <w:top w:val="nil"/>
              <w:left w:val="single" w:color="auto" w:sz="8" w:space="0"/>
              <w:bottom w:val="single" w:color="auto" w:sz="4" w:space="0"/>
              <w:right w:val="single" w:color="auto" w:sz="4" w:space="0"/>
            </w:tcBorders>
            <w:vAlign w:val="center"/>
          </w:tcPr>
          <w:p>
            <w:pPr>
              <w:widowControl/>
              <w:spacing w:line="240" w:lineRule="auto"/>
              <w:jc w:val="left"/>
              <w:rPr>
                <w:rFonts w:ascii="Times New Roman" w:hAnsi="Times New Roman" w:eastAsia="宋体"/>
                <w:bCs/>
                <w:spacing w:val="0"/>
                <w:kern w:val="0"/>
                <w:sz w:val="18"/>
                <w:szCs w:val="18"/>
              </w:rPr>
            </w:pPr>
            <w:r>
              <w:rPr>
                <w:rFonts w:ascii="Times New Roman" w:hAnsi="Times New Roman" w:eastAsia="宋体"/>
                <w:bCs/>
                <w:spacing w:val="0"/>
                <w:kern w:val="0"/>
                <w:sz w:val="18"/>
                <w:szCs w:val="18"/>
              </w:rPr>
              <w:t>盈余公积:</w:t>
            </w:r>
          </w:p>
        </w:tc>
        <w:tc>
          <w:tcPr>
            <w:tcW w:w="1387"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p>
        </w:tc>
        <w:tc>
          <w:tcPr>
            <w:tcW w:w="1387"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p>
        </w:tc>
        <w:tc>
          <w:tcPr>
            <w:tcW w:w="1387"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p>
        </w:tc>
        <w:tc>
          <w:tcPr>
            <w:tcW w:w="1387"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p>
        </w:tc>
        <w:tc>
          <w:tcPr>
            <w:tcW w:w="1578"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2036" w:type="dxa"/>
            <w:tcBorders>
              <w:top w:val="nil"/>
              <w:left w:val="single" w:color="auto" w:sz="8" w:space="0"/>
              <w:bottom w:val="single" w:color="auto" w:sz="4" w:space="0"/>
              <w:right w:val="single" w:color="auto" w:sz="4" w:space="0"/>
            </w:tcBorders>
            <w:vAlign w:val="center"/>
          </w:tcPr>
          <w:p>
            <w:pPr>
              <w:widowControl/>
              <w:spacing w:line="240" w:lineRule="auto"/>
              <w:jc w:val="left"/>
              <w:rPr>
                <w:rFonts w:ascii="Times New Roman" w:hAnsi="Times New Roman" w:eastAsia="宋体"/>
                <w:spacing w:val="0"/>
                <w:kern w:val="0"/>
                <w:sz w:val="18"/>
                <w:szCs w:val="18"/>
              </w:rPr>
            </w:pPr>
            <w:r>
              <w:rPr>
                <w:rFonts w:ascii="Times New Roman" w:hAnsi="Times New Roman" w:eastAsia="宋体"/>
                <w:spacing w:val="0"/>
                <w:kern w:val="0"/>
                <w:sz w:val="18"/>
                <w:szCs w:val="18"/>
              </w:rPr>
              <w:t>年初数</w:t>
            </w:r>
          </w:p>
        </w:tc>
        <w:tc>
          <w:tcPr>
            <w:tcW w:w="1387"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919,900.73</w:t>
            </w:r>
          </w:p>
        </w:tc>
        <w:tc>
          <w:tcPr>
            <w:tcW w:w="1387"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1,209,824.18</w:t>
            </w:r>
          </w:p>
        </w:tc>
        <w:tc>
          <w:tcPr>
            <w:tcW w:w="1387"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1,536,784.00</w:t>
            </w:r>
          </w:p>
        </w:tc>
        <w:tc>
          <w:tcPr>
            <w:tcW w:w="1387"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1,900,517.84</w:t>
            </w:r>
          </w:p>
        </w:tc>
        <w:tc>
          <w:tcPr>
            <w:tcW w:w="1578"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2,302,113.27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2036" w:type="dxa"/>
            <w:tcBorders>
              <w:top w:val="nil"/>
              <w:left w:val="single" w:color="auto" w:sz="8" w:space="0"/>
              <w:bottom w:val="single" w:color="auto" w:sz="4" w:space="0"/>
              <w:right w:val="single" w:color="auto" w:sz="4" w:space="0"/>
            </w:tcBorders>
            <w:vAlign w:val="center"/>
          </w:tcPr>
          <w:p>
            <w:pPr>
              <w:widowControl/>
              <w:spacing w:line="240" w:lineRule="auto"/>
              <w:jc w:val="left"/>
              <w:rPr>
                <w:rFonts w:ascii="Times New Roman" w:hAnsi="Times New Roman" w:eastAsia="宋体"/>
                <w:spacing w:val="0"/>
                <w:kern w:val="0"/>
                <w:sz w:val="18"/>
                <w:szCs w:val="18"/>
              </w:rPr>
            </w:pPr>
            <w:r>
              <w:rPr>
                <w:rFonts w:ascii="Times New Roman" w:hAnsi="Times New Roman" w:eastAsia="宋体"/>
                <w:spacing w:val="0"/>
                <w:kern w:val="0"/>
                <w:sz w:val="18"/>
                <w:szCs w:val="18"/>
              </w:rPr>
              <w:t>本年增加</w:t>
            </w:r>
          </w:p>
        </w:tc>
        <w:tc>
          <w:tcPr>
            <w:tcW w:w="1387"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289,923.45</w:t>
            </w:r>
          </w:p>
        </w:tc>
        <w:tc>
          <w:tcPr>
            <w:tcW w:w="1387"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326,959.82</w:t>
            </w:r>
          </w:p>
        </w:tc>
        <w:tc>
          <w:tcPr>
            <w:tcW w:w="1387"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363,733.84</w:t>
            </w:r>
          </w:p>
        </w:tc>
        <w:tc>
          <w:tcPr>
            <w:tcW w:w="1387"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401,595.43</w:t>
            </w:r>
          </w:p>
        </w:tc>
        <w:tc>
          <w:tcPr>
            <w:tcW w:w="1578"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439,012.30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2036" w:type="dxa"/>
            <w:tcBorders>
              <w:top w:val="nil"/>
              <w:left w:val="single" w:color="auto" w:sz="8" w:space="0"/>
              <w:bottom w:val="single" w:color="auto" w:sz="4" w:space="0"/>
              <w:right w:val="single" w:color="auto" w:sz="4" w:space="0"/>
            </w:tcBorders>
            <w:vAlign w:val="center"/>
          </w:tcPr>
          <w:p>
            <w:pPr>
              <w:widowControl/>
              <w:spacing w:line="240" w:lineRule="auto"/>
              <w:jc w:val="left"/>
              <w:rPr>
                <w:rFonts w:ascii="Times New Roman" w:hAnsi="Times New Roman" w:eastAsia="宋体"/>
                <w:spacing w:val="0"/>
                <w:kern w:val="0"/>
                <w:sz w:val="18"/>
                <w:szCs w:val="18"/>
              </w:rPr>
            </w:pPr>
            <w:r>
              <w:rPr>
                <w:rFonts w:ascii="Times New Roman" w:hAnsi="Times New Roman" w:eastAsia="宋体"/>
                <w:spacing w:val="0"/>
                <w:kern w:val="0"/>
                <w:sz w:val="18"/>
                <w:szCs w:val="18"/>
              </w:rPr>
              <w:t>本年减少</w:t>
            </w:r>
          </w:p>
        </w:tc>
        <w:tc>
          <w:tcPr>
            <w:tcW w:w="1387"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p>
        </w:tc>
        <w:tc>
          <w:tcPr>
            <w:tcW w:w="1387"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p>
        </w:tc>
        <w:tc>
          <w:tcPr>
            <w:tcW w:w="1387"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p>
        </w:tc>
        <w:tc>
          <w:tcPr>
            <w:tcW w:w="1387"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p>
        </w:tc>
        <w:tc>
          <w:tcPr>
            <w:tcW w:w="1578"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2036" w:type="dxa"/>
            <w:tcBorders>
              <w:top w:val="nil"/>
              <w:left w:val="single" w:color="auto" w:sz="8" w:space="0"/>
              <w:bottom w:val="single" w:color="auto" w:sz="4" w:space="0"/>
              <w:right w:val="single" w:color="auto" w:sz="4" w:space="0"/>
            </w:tcBorders>
            <w:vAlign w:val="center"/>
          </w:tcPr>
          <w:p>
            <w:pPr>
              <w:widowControl/>
              <w:spacing w:line="240" w:lineRule="auto"/>
              <w:jc w:val="left"/>
              <w:rPr>
                <w:rFonts w:ascii="Times New Roman" w:hAnsi="Times New Roman" w:eastAsia="宋体"/>
                <w:spacing w:val="0"/>
                <w:kern w:val="0"/>
                <w:sz w:val="18"/>
                <w:szCs w:val="18"/>
              </w:rPr>
            </w:pPr>
            <w:r>
              <w:rPr>
                <w:rFonts w:ascii="Times New Roman" w:hAnsi="Times New Roman" w:eastAsia="宋体"/>
                <w:spacing w:val="0"/>
                <w:kern w:val="0"/>
                <w:sz w:val="18"/>
                <w:szCs w:val="18"/>
              </w:rPr>
              <w:t>年末数</w:t>
            </w:r>
          </w:p>
        </w:tc>
        <w:tc>
          <w:tcPr>
            <w:tcW w:w="1387"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1,209,824.18</w:t>
            </w:r>
          </w:p>
        </w:tc>
        <w:tc>
          <w:tcPr>
            <w:tcW w:w="1387"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1,536,784.00</w:t>
            </w:r>
          </w:p>
        </w:tc>
        <w:tc>
          <w:tcPr>
            <w:tcW w:w="1387"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1,900,517.84</w:t>
            </w:r>
          </w:p>
        </w:tc>
        <w:tc>
          <w:tcPr>
            <w:tcW w:w="1387"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2,302,113.27</w:t>
            </w:r>
          </w:p>
        </w:tc>
        <w:tc>
          <w:tcPr>
            <w:tcW w:w="1578"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2,741,125.57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2036" w:type="dxa"/>
            <w:tcBorders>
              <w:top w:val="nil"/>
              <w:left w:val="single" w:color="auto" w:sz="8" w:space="0"/>
              <w:bottom w:val="single" w:color="auto" w:sz="4" w:space="0"/>
              <w:right w:val="single" w:color="auto" w:sz="4" w:space="0"/>
            </w:tcBorders>
            <w:vAlign w:val="center"/>
          </w:tcPr>
          <w:p>
            <w:pPr>
              <w:widowControl/>
              <w:spacing w:line="240" w:lineRule="auto"/>
              <w:jc w:val="left"/>
              <w:rPr>
                <w:rFonts w:ascii="Times New Roman" w:hAnsi="Times New Roman" w:eastAsia="宋体"/>
                <w:bCs/>
                <w:spacing w:val="0"/>
                <w:kern w:val="0"/>
                <w:sz w:val="18"/>
                <w:szCs w:val="18"/>
              </w:rPr>
            </w:pPr>
            <w:r>
              <w:rPr>
                <w:rFonts w:ascii="Times New Roman" w:hAnsi="Times New Roman" w:eastAsia="宋体"/>
                <w:bCs/>
                <w:spacing w:val="0"/>
                <w:kern w:val="0"/>
                <w:sz w:val="18"/>
                <w:szCs w:val="18"/>
              </w:rPr>
              <w:t>一般准备:</w:t>
            </w:r>
          </w:p>
        </w:tc>
        <w:tc>
          <w:tcPr>
            <w:tcW w:w="1387"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p>
        </w:tc>
        <w:tc>
          <w:tcPr>
            <w:tcW w:w="1387"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p>
        </w:tc>
        <w:tc>
          <w:tcPr>
            <w:tcW w:w="1387"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p>
        </w:tc>
        <w:tc>
          <w:tcPr>
            <w:tcW w:w="1387"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p>
        </w:tc>
        <w:tc>
          <w:tcPr>
            <w:tcW w:w="1578"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2036" w:type="dxa"/>
            <w:tcBorders>
              <w:top w:val="nil"/>
              <w:left w:val="single" w:color="auto" w:sz="8" w:space="0"/>
              <w:bottom w:val="single" w:color="auto" w:sz="4" w:space="0"/>
              <w:right w:val="single" w:color="auto" w:sz="4" w:space="0"/>
            </w:tcBorders>
            <w:vAlign w:val="center"/>
          </w:tcPr>
          <w:p>
            <w:pPr>
              <w:widowControl/>
              <w:spacing w:line="240" w:lineRule="auto"/>
              <w:jc w:val="left"/>
              <w:rPr>
                <w:rFonts w:ascii="Times New Roman" w:hAnsi="Times New Roman" w:eastAsia="宋体"/>
                <w:spacing w:val="0"/>
                <w:kern w:val="0"/>
                <w:sz w:val="18"/>
                <w:szCs w:val="18"/>
              </w:rPr>
            </w:pPr>
            <w:r>
              <w:rPr>
                <w:rFonts w:ascii="Times New Roman" w:hAnsi="Times New Roman" w:eastAsia="宋体"/>
                <w:spacing w:val="0"/>
                <w:kern w:val="0"/>
                <w:sz w:val="18"/>
                <w:szCs w:val="18"/>
              </w:rPr>
              <w:t>年初数</w:t>
            </w:r>
          </w:p>
        </w:tc>
        <w:tc>
          <w:tcPr>
            <w:tcW w:w="1387"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3,804,593.34</w:t>
            </w:r>
          </w:p>
        </w:tc>
        <w:tc>
          <w:tcPr>
            <w:tcW w:w="1387"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4,094,516.79</w:t>
            </w:r>
          </w:p>
        </w:tc>
        <w:tc>
          <w:tcPr>
            <w:tcW w:w="1387"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4,421,476.61</w:t>
            </w:r>
          </w:p>
        </w:tc>
        <w:tc>
          <w:tcPr>
            <w:tcW w:w="1387"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4,785,210.45</w:t>
            </w:r>
          </w:p>
        </w:tc>
        <w:tc>
          <w:tcPr>
            <w:tcW w:w="1578"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5,186,805.88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2036" w:type="dxa"/>
            <w:tcBorders>
              <w:top w:val="nil"/>
              <w:left w:val="single" w:color="auto" w:sz="8" w:space="0"/>
              <w:bottom w:val="single" w:color="auto" w:sz="4" w:space="0"/>
              <w:right w:val="single" w:color="auto" w:sz="4" w:space="0"/>
            </w:tcBorders>
            <w:vAlign w:val="center"/>
          </w:tcPr>
          <w:p>
            <w:pPr>
              <w:widowControl/>
              <w:spacing w:line="240" w:lineRule="auto"/>
              <w:jc w:val="left"/>
              <w:rPr>
                <w:rFonts w:ascii="Times New Roman" w:hAnsi="Times New Roman" w:eastAsia="宋体"/>
                <w:spacing w:val="0"/>
                <w:kern w:val="0"/>
                <w:sz w:val="18"/>
                <w:szCs w:val="18"/>
              </w:rPr>
            </w:pPr>
            <w:r>
              <w:rPr>
                <w:rFonts w:ascii="Times New Roman" w:hAnsi="Times New Roman" w:eastAsia="宋体"/>
                <w:spacing w:val="0"/>
                <w:kern w:val="0"/>
                <w:sz w:val="18"/>
                <w:szCs w:val="18"/>
              </w:rPr>
              <w:t>本年增加</w:t>
            </w:r>
          </w:p>
        </w:tc>
        <w:tc>
          <w:tcPr>
            <w:tcW w:w="1387"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289,923.45</w:t>
            </w:r>
          </w:p>
        </w:tc>
        <w:tc>
          <w:tcPr>
            <w:tcW w:w="1387"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326,959.82</w:t>
            </w:r>
          </w:p>
        </w:tc>
        <w:tc>
          <w:tcPr>
            <w:tcW w:w="1387"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363,733.84</w:t>
            </w:r>
          </w:p>
        </w:tc>
        <w:tc>
          <w:tcPr>
            <w:tcW w:w="1387"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401,595.43</w:t>
            </w:r>
          </w:p>
        </w:tc>
        <w:tc>
          <w:tcPr>
            <w:tcW w:w="1578"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439,012.30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2036" w:type="dxa"/>
            <w:tcBorders>
              <w:top w:val="nil"/>
              <w:left w:val="single" w:color="auto" w:sz="8" w:space="0"/>
              <w:bottom w:val="single" w:color="auto" w:sz="4" w:space="0"/>
              <w:right w:val="single" w:color="auto" w:sz="4" w:space="0"/>
            </w:tcBorders>
            <w:vAlign w:val="center"/>
          </w:tcPr>
          <w:p>
            <w:pPr>
              <w:widowControl/>
              <w:spacing w:line="240" w:lineRule="auto"/>
              <w:jc w:val="left"/>
              <w:rPr>
                <w:rFonts w:ascii="Times New Roman" w:hAnsi="Times New Roman" w:eastAsia="宋体"/>
                <w:spacing w:val="0"/>
                <w:kern w:val="0"/>
                <w:sz w:val="18"/>
                <w:szCs w:val="18"/>
              </w:rPr>
            </w:pPr>
            <w:r>
              <w:rPr>
                <w:rFonts w:ascii="Times New Roman" w:hAnsi="Times New Roman" w:eastAsia="宋体"/>
                <w:spacing w:val="0"/>
                <w:kern w:val="0"/>
                <w:sz w:val="18"/>
                <w:szCs w:val="18"/>
              </w:rPr>
              <w:t>本年减少</w:t>
            </w:r>
          </w:p>
        </w:tc>
        <w:tc>
          <w:tcPr>
            <w:tcW w:w="1387"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p>
        </w:tc>
        <w:tc>
          <w:tcPr>
            <w:tcW w:w="1387"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p>
        </w:tc>
        <w:tc>
          <w:tcPr>
            <w:tcW w:w="1387"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p>
        </w:tc>
        <w:tc>
          <w:tcPr>
            <w:tcW w:w="1387"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p>
        </w:tc>
        <w:tc>
          <w:tcPr>
            <w:tcW w:w="1578"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2036" w:type="dxa"/>
            <w:tcBorders>
              <w:top w:val="nil"/>
              <w:left w:val="single" w:color="auto" w:sz="8" w:space="0"/>
              <w:bottom w:val="single" w:color="auto" w:sz="4" w:space="0"/>
              <w:right w:val="single" w:color="auto" w:sz="4" w:space="0"/>
            </w:tcBorders>
            <w:vAlign w:val="center"/>
          </w:tcPr>
          <w:p>
            <w:pPr>
              <w:widowControl/>
              <w:spacing w:line="240" w:lineRule="auto"/>
              <w:jc w:val="left"/>
              <w:rPr>
                <w:rFonts w:ascii="Times New Roman" w:hAnsi="Times New Roman" w:eastAsia="宋体"/>
                <w:spacing w:val="0"/>
                <w:kern w:val="0"/>
                <w:sz w:val="18"/>
                <w:szCs w:val="18"/>
              </w:rPr>
            </w:pPr>
            <w:r>
              <w:rPr>
                <w:rFonts w:ascii="Times New Roman" w:hAnsi="Times New Roman" w:eastAsia="宋体"/>
                <w:spacing w:val="0"/>
                <w:kern w:val="0"/>
                <w:sz w:val="18"/>
                <w:szCs w:val="18"/>
              </w:rPr>
              <w:t>年末数</w:t>
            </w:r>
          </w:p>
        </w:tc>
        <w:tc>
          <w:tcPr>
            <w:tcW w:w="1387"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4,094,516.79</w:t>
            </w:r>
          </w:p>
        </w:tc>
        <w:tc>
          <w:tcPr>
            <w:tcW w:w="1387"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4,421,476.61</w:t>
            </w:r>
          </w:p>
        </w:tc>
        <w:tc>
          <w:tcPr>
            <w:tcW w:w="1387"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4,785,210.45</w:t>
            </w:r>
          </w:p>
        </w:tc>
        <w:tc>
          <w:tcPr>
            <w:tcW w:w="1387"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5,186,805.88</w:t>
            </w:r>
          </w:p>
        </w:tc>
        <w:tc>
          <w:tcPr>
            <w:tcW w:w="1578"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5,625,818.18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2036" w:type="dxa"/>
            <w:tcBorders>
              <w:top w:val="nil"/>
              <w:left w:val="single" w:color="auto" w:sz="8" w:space="0"/>
              <w:bottom w:val="single" w:color="auto" w:sz="4" w:space="0"/>
              <w:right w:val="single" w:color="auto" w:sz="4" w:space="0"/>
            </w:tcBorders>
            <w:vAlign w:val="center"/>
          </w:tcPr>
          <w:p>
            <w:pPr>
              <w:widowControl/>
              <w:spacing w:line="240" w:lineRule="auto"/>
              <w:jc w:val="left"/>
              <w:rPr>
                <w:rFonts w:ascii="Times New Roman" w:hAnsi="Times New Roman" w:eastAsia="宋体"/>
                <w:bCs/>
                <w:spacing w:val="0"/>
                <w:kern w:val="0"/>
                <w:sz w:val="18"/>
                <w:szCs w:val="18"/>
              </w:rPr>
            </w:pPr>
            <w:r>
              <w:rPr>
                <w:rFonts w:ascii="Times New Roman" w:hAnsi="Times New Roman" w:eastAsia="宋体"/>
                <w:bCs/>
                <w:spacing w:val="0"/>
                <w:kern w:val="0"/>
                <w:sz w:val="18"/>
                <w:szCs w:val="18"/>
              </w:rPr>
              <w:t>未分配利润:</w:t>
            </w:r>
          </w:p>
        </w:tc>
        <w:tc>
          <w:tcPr>
            <w:tcW w:w="1387"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p>
        </w:tc>
        <w:tc>
          <w:tcPr>
            <w:tcW w:w="1387"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p>
        </w:tc>
        <w:tc>
          <w:tcPr>
            <w:tcW w:w="1387"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p>
        </w:tc>
        <w:tc>
          <w:tcPr>
            <w:tcW w:w="1387"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p>
        </w:tc>
        <w:tc>
          <w:tcPr>
            <w:tcW w:w="1578"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2036" w:type="dxa"/>
            <w:tcBorders>
              <w:top w:val="nil"/>
              <w:left w:val="single" w:color="auto" w:sz="8" w:space="0"/>
              <w:bottom w:val="single" w:color="auto" w:sz="4" w:space="0"/>
              <w:right w:val="single" w:color="auto" w:sz="4" w:space="0"/>
            </w:tcBorders>
            <w:vAlign w:val="center"/>
          </w:tcPr>
          <w:p>
            <w:pPr>
              <w:widowControl/>
              <w:spacing w:line="240" w:lineRule="auto"/>
              <w:jc w:val="left"/>
              <w:rPr>
                <w:rFonts w:ascii="Times New Roman" w:hAnsi="Times New Roman" w:eastAsia="宋体"/>
                <w:spacing w:val="0"/>
                <w:kern w:val="0"/>
                <w:sz w:val="18"/>
                <w:szCs w:val="18"/>
              </w:rPr>
            </w:pPr>
            <w:r>
              <w:rPr>
                <w:rFonts w:ascii="Times New Roman" w:hAnsi="Times New Roman" w:eastAsia="宋体"/>
                <w:spacing w:val="0"/>
                <w:kern w:val="0"/>
                <w:sz w:val="18"/>
                <w:szCs w:val="18"/>
              </w:rPr>
              <w:t>年初未分配利润</w:t>
            </w:r>
          </w:p>
        </w:tc>
        <w:tc>
          <w:tcPr>
            <w:tcW w:w="1387"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2,986,089.90</w:t>
            </w:r>
          </w:p>
        </w:tc>
        <w:tc>
          <w:tcPr>
            <w:tcW w:w="1387"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3,768,883.23</w:t>
            </w:r>
          </w:p>
        </w:tc>
        <w:tc>
          <w:tcPr>
            <w:tcW w:w="1387"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6,188,385.88</w:t>
            </w:r>
          </w:p>
        </w:tc>
        <w:tc>
          <w:tcPr>
            <w:tcW w:w="1387"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9,025,509.78</w:t>
            </w:r>
          </w:p>
        </w:tc>
        <w:tc>
          <w:tcPr>
            <w:tcW w:w="1578"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11,957,156.37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2036" w:type="dxa"/>
            <w:tcBorders>
              <w:top w:val="nil"/>
              <w:left w:val="single" w:color="auto" w:sz="8" w:space="0"/>
              <w:bottom w:val="single" w:color="auto" w:sz="4" w:space="0"/>
              <w:right w:val="single" w:color="auto" w:sz="4" w:space="0"/>
            </w:tcBorders>
            <w:vAlign w:val="center"/>
          </w:tcPr>
          <w:p>
            <w:pPr>
              <w:widowControl/>
              <w:spacing w:line="240" w:lineRule="auto"/>
              <w:jc w:val="left"/>
              <w:rPr>
                <w:rFonts w:ascii="Times New Roman" w:hAnsi="Times New Roman" w:eastAsia="宋体"/>
                <w:spacing w:val="0"/>
                <w:kern w:val="0"/>
                <w:sz w:val="18"/>
                <w:szCs w:val="18"/>
              </w:rPr>
            </w:pPr>
            <w:r>
              <w:rPr>
                <w:rFonts w:ascii="Times New Roman" w:hAnsi="Times New Roman" w:eastAsia="宋体"/>
                <w:spacing w:val="0"/>
                <w:kern w:val="0"/>
                <w:sz w:val="18"/>
                <w:szCs w:val="18"/>
              </w:rPr>
              <w:t>本年增加数</w:t>
            </w:r>
          </w:p>
        </w:tc>
        <w:tc>
          <w:tcPr>
            <w:tcW w:w="1387"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2,899,234.54</w:t>
            </w:r>
          </w:p>
        </w:tc>
        <w:tc>
          <w:tcPr>
            <w:tcW w:w="1387"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3,269,598.18</w:t>
            </w:r>
          </w:p>
        </w:tc>
        <w:tc>
          <w:tcPr>
            <w:tcW w:w="1387"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3,637,338.35</w:t>
            </w:r>
          </w:p>
        </w:tc>
        <w:tc>
          <w:tcPr>
            <w:tcW w:w="1387"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4,015,954.25</w:t>
            </w:r>
          </w:p>
        </w:tc>
        <w:tc>
          <w:tcPr>
            <w:tcW w:w="1578"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4,390,122.98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2036" w:type="dxa"/>
            <w:tcBorders>
              <w:top w:val="nil"/>
              <w:left w:val="single" w:color="auto" w:sz="8" w:space="0"/>
              <w:bottom w:val="single" w:color="auto" w:sz="4" w:space="0"/>
              <w:right w:val="single" w:color="auto" w:sz="4" w:space="0"/>
            </w:tcBorders>
            <w:vAlign w:val="center"/>
          </w:tcPr>
          <w:p>
            <w:pPr>
              <w:widowControl/>
              <w:spacing w:line="240" w:lineRule="auto"/>
              <w:jc w:val="left"/>
              <w:rPr>
                <w:rFonts w:ascii="Times New Roman" w:hAnsi="Times New Roman" w:eastAsia="宋体"/>
                <w:spacing w:val="0"/>
                <w:kern w:val="0"/>
                <w:sz w:val="18"/>
                <w:szCs w:val="18"/>
              </w:rPr>
            </w:pPr>
            <w:r>
              <w:rPr>
                <w:rFonts w:ascii="Times New Roman" w:hAnsi="Times New Roman" w:eastAsia="宋体"/>
                <w:spacing w:val="0"/>
                <w:kern w:val="0"/>
                <w:sz w:val="18"/>
                <w:szCs w:val="18"/>
              </w:rPr>
              <w:t>净利润</w:t>
            </w:r>
          </w:p>
        </w:tc>
        <w:tc>
          <w:tcPr>
            <w:tcW w:w="1387"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2,899,234.54</w:t>
            </w:r>
          </w:p>
        </w:tc>
        <w:tc>
          <w:tcPr>
            <w:tcW w:w="1387"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3,269,598.18</w:t>
            </w:r>
          </w:p>
        </w:tc>
        <w:tc>
          <w:tcPr>
            <w:tcW w:w="1387"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3,637,338.35</w:t>
            </w:r>
          </w:p>
        </w:tc>
        <w:tc>
          <w:tcPr>
            <w:tcW w:w="1387"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4,015,954.25</w:t>
            </w:r>
          </w:p>
        </w:tc>
        <w:tc>
          <w:tcPr>
            <w:tcW w:w="1578"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4,390,122.98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2036" w:type="dxa"/>
            <w:tcBorders>
              <w:top w:val="nil"/>
              <w:left w:val="single" w:color="auto" w:sz="8" w:space="0"/>
              <w:bottom w:val="single" w:color="auto" w:sz="4" w:space="0"/>
              <w:right w:val="single" w:color="auto" w:sz="4" w:space="0"/>
            </w:tcBorders>
            <w:vAlign w:val="center"/>
          </w:tcPr>
          <w:p>
            <w:pPr>
              <w:widowControl/>
              <w:spacing w:line="240" w:lineRule="auto"/>
              <w:jc w:val="left"/>
              <w:rPr>
                <w:rFonts w:ascii="Times New Roman" w:hAnsi="Times New Roman" w:eastAsia="宋体"/>
                <w:spacing w:val="0"/>
                <w:kern w:val="0"/>
                <w:sz w:val="18"/>
                <w:szCs w:val="18"/>
              </w:rPr>
            </w:pPr>
            <w:r>
              <w:rPr>
                <w:rFonts w:ascii="Times New Roman" w:hAnsi="Times New Roman" w:eastAsia="宋体"/>
                <w:spacing w:val="0"/>
                <w:kern w:val="0"/>
                <w:sz w:val="18"/>
                <w:szCs w:val="18"/>
              </w:rPr>
              <w:t>其他</w:t>
            </w:r>
          </w:p>
        </w:tc>
        <w:tc>
          <w:tcPr>
            <w:tcW w:w="1387"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p>
        </w:tc>
        <w:tc>
          <w:tcPr>
            <w:tcW w:w="1387"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p>
        </w:tc>
        <w:tc>
          <w:tcPr>
            <w:tcW w:w="1387"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p>
        </w:tc>
        <w:tc>
          <w:tcPr>
            <w:tcW w:w="1387"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p>
        </w:tc>
        <w:tc>
          <w:tcPr>
            <w:tcW w:w="1578"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2036" w:type="dxa"/>
            <w:tcBorders>
              <w:top w:val="nil"/>
              <w:left w:val="single" w:color="auto" w:sz="8" w:space="0"/>
              <w:bottom w:val="single" w:color="auto" w:sz="4" w:space="0"/>
              <w:right w:val="single" w:color="auto" w:sz="4" w:space="0"/>
            </w:tcBorders>
            <w:vAlign w:val="center"/>
          </w:tcPr>
          <w:p>
            <w:pPr>
              <w:widowControl/>
              <w:spacing w:line="240" w:lineRule="auto"/>
              <w:jc w:val="left"/>
              <w:rPr>
                <w:rFonts w:ascii="Times New Roman" w:hAnsi="Times New Roman" w:eastAsia="宋体"/>
                <w:spacing w:val="0"/>
                <w:kern w:val="0"/>
                <w:sz w:val="18"/>
                <w:szCs w:val="18"/>
              </w:rPr>
            </w:pPr>
            <w:r>
              <w:rPr>
                <w:rFonts w:ascii="Times New Roman" w:hAnsi="Times New Roman" w:eastAsia="宋体"/>
                <w:spacing w:val="0"/>
                <w:kern w:val="0"/>
                <w:sz w:val="18"/>
                <w:szCs w:val="18"/>
              </w:rPr>
              <w:t>本年减少数</w:t>
            </w:r>
          </w:p>
        </w:tc>
        <w:tc>
          <w:tcPr>
            <w:tcW w:w="1387"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2,116,441.21</w:t>
            </w:r>
          </w:p>
        </w:tc>
        <w:tc>
          <w:tcPr>
            <w:tcW w:w="1387"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850,095.53</w:t>
            </w:r>
          </w:p>
        </w:tc>
        <w:tc>
          <w:tcPr>
            <w:tcW w:w="1387"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800,214.45</w:t>
            </w:r>
          </w:p>
        </w:tc>
        <w:tc>
          <w:tcPr>
            <w:tcW w:w="1387"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1,084,307.66</w:t>
            </w:r>
          </w:p>
        </w:tc>
        <w:tc>
          <w:tcPr>
            <w:tcW w:w="1578"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1,536,543.05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2036" w:type="dxa"/>
            <w:tcBorders>
              <w:top w:val="nil"/>
              <w:left w:val="single" w:color="auto" w:sz="8" w:space="0"/>
              <w:bottom w:val="single" w:color="auto" w:sz="4" w:space="0"/>
              <w:right w:val="single" w:color="auto" w:sz="4" w:space="0"/>
            </w:tcBorders>
            <w:vAlign w:val="center"/>
          </w:tcPr>
          <w:p>
            <w:pPr>
              <w:widowControl/>
              <w:spacing w:line="240" w:lineRule="auto"/>
              <w:jc w:val="left"/>
              <w:rPr>
                <w:rFonts w:ascii="Times New Roman" w:hAnsi="Times New Roman" w:eastAsia="宋体"/>
                <w:spacing w:val="0"/>
                <w:kern w:val="0"/>
                <w:sz w:val="18"/>
                <w:szCs w:val="18"/>
              </w:rPr>
            </w:pPr>
            <w:r>
              <w:rPr>
                <w:rFonts w:ascii="Times New Roman" w:hAnsi="Times New Roman" w:eastAsia="宋体"/>
                <w:spacing w:val="0"/>
                <w:kern w:val="0"/>
                <w:sz w:val="18"/>
                <w:szCs w:val="18"/>
              </w:rPr>
              <w:t>提取盈余公积</w:t>
            </w:r>
          </w:p>
        </w:tc>
        <w:tc>
          <w:tcPr>
            <w:tcW w:w="1387"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289,923.45</w:t>
            </w:r>
          </w:p>
        </w:tc>
        <w:tc>
          <w:tcPr>
            <w:tcW w:w="1387"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326,959.82</w:t>
            </w:r>
          </w:p>
        </w:tc>
        <w:tc>
          <w:tcPr>
            <w:tcW w:w="1387"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363,733.84</w:t>
            </w:r>
          </w:p>
        </w:tc>
        <w:tc>
          <w:tcPr>
            <w:tcW w:w="1387"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401,595.43</w:t>
            </w:r>
          </w:p>
        </w:tc>
        <w:tc>
          <w:tcPr>
            <w:tcW w:w="1578"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439,012.30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2036" w:type="dxa"/>
            <w:tcBorders>
              <w:top w:val="nil"/>
              <w:left w:val="single" w:color="auto" w:sz="8" w:space="0"/>
              <w:bottom w:val="single" w:color="auto" w:sz="4" w:space="0"/>
              <w:right w:val="single" w:color="auto" w:sz="4" w:space="0"/>
            </w:tcBorders>
            <w:vAlign w:val="center"/>
          </w:tcPr>
          <w:p>
            <w:pPr>
              <w:widowControl/>
              <w:spacing w:line="240" w:lineRule="auto"/>
              <w:jc w:val="left"/>
              <w:rPr>
                <w:rFonts w:ascii="Times New Roman" w:hAnsi="Times New Roman" w:eastAsia="宋体"/>
                <w:spacing w:val="0"/>
                <w:kern w:val="0"/>
                <w:sz w:val="18"/>
                <w:szCs w:val="18"/>
              </w:rPr>
            </w:pPr>
            <w:r>
              <w:rPr>
                <w:rFonts w:ascii="Times New Roman" w:hAnsi="Times New Roman" w:eastAsia="宋体"/>
                <w:spacing w:val="0"/>
                <w:kern w:val="0"/>
                <w:sz w:val="18"/>
                <w:szCs w:val="18"/>
              </w:rPr>
              <w:t>一般风险准备</w:t>
            </w:r>
          </w:p>
        </w:tc>
        <w:tc>
          <w:tcPr>
            <w:tcW w:w="1387"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289,923.45</w:t>
            </w:r>
          </w:p>
        </w:tc>
        <w:tc>
          <w:tcPr>
            <w:tcW w:w="1387"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326,959.82</w:t>
            </w:r>
          </w:p>
        </w:tc>
        <w:tc>
          <w:tcPr>
            <w:tcW w:w="1387"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363,733.84</w:t>
            </w:r>
          </w:p>
        </w:tc>
        <w:tc>
          <w:tcPr>
            <w:tcW w:w="1387"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401,595.43</w:t>
            </w:r>
          </w:p>
        </w:tc>
        <w:tc>
          <w:tcPr>
            <w:tcW w:w="1578"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439,012.30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2036" w:type="dxa"/>
            <w:tcBorders>
              <w:top w:val="nil"/>
              <w:left w:val="single" w:color="auto" w:sz="8" w:space="0"/>
              <w:bottom w:val="single" w:color="auto" w:sz="4" w:space="0"/>
              <w:right w:val="single" w:color="auto" w:sz="4" w:space="0"/>
            </w:tcBorders>
            <w:vAlign w:val="center"/>
          </w:tcPr>
          <w:p>
            <w:pPr>
              <w:widowControl/>
              <w:spacing w:line="240" w:lineRule="auto"/>
              <w:jc w:val="left"/>
              <w:rPr>
                <w:rFonts w:ascii="Times New Roman" w:hAnsi="Times New Roman" w:eastAsia="宋体"/>
                <w:spacing w:val="0"/>
                <w:kern w:val="0"/>
                <w:sz w:val="18"/>
                <w:szCs w:val="18"/>
              </w:rPr>
            </w:pPr>
            <w:r>
              <w:rPr>
                <w:rFonts w:ascii="Times New Roman" w:hAnsi="Times New Roman" w:eastAsia="宋体"/>
                <w:spacing w:val="0"/>
                <w:kern w:val="0"/>
                <w:sz w:val="18"/>
                <w:szCs w:val="18"/>
              </w:rPr>
              <w:t>分配股利</w:t>
            </w:r>
          </w:p>
        </w:tc>
        <w:tc>
          <w:tcPr>
            <w:tcW w:w="1387"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1,536,594.31</w:t>
            </w:r>
          </w:p>
        </w:tc>
        <w:tc>
          <w:tcPr>
            <w:tcW w:w="1387"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196,175.89</w:t>
            </w:r>
          </w:p>
        </w:tc>
        <w:tc>
          <w:tcPr>
            <w:tcW w:w="1387"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72,746.77</w:t>
            </w:r>
          </w:p>
        </w:tc>
        <w:tc>
          <w:tcPr>
            <w:tcW w:w="1387"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281,116.80</w:t>
            </w:r>
          </w:p>
        </w:tc>
        <w:tc>
          <w:tcPr>
            <w:tcW w:w="1578"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658,518.45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2036" w:type="dxa"/>
            <w:tcBorders>
              <w:top w:val="nil"/>
              <w:left w:val="single" w:color="auto" w:sz="8" w:space="0"/>
              <w:bottom w:val="single" w:color="auto" w:sz="4" w:space="0"/>
              <w:right w:val="single" w:color="auto" w:sz="4" w:space="0"/>
            </w:tcBorders>
            <w:vAlign w:val="center"/>
          </w:tcPr>
          <w:p>
            <w:pPr>
              <w:widowControl/>
              <w:spacing w:line="240" w:lineRule="auto"/>
              <w:jc w:val="left"/>
              <w:rPr>
                <w:rFonts w:ascii="Times New Roman" w:hAnsi="Times New Roman" w:eastAsia="宋体"/>
                <w:spacing w:val="0"/>
                <w:kern w:val="0"/>
                <w:sz w:val="18"/>
                <w:szCs w:val="18"/>
              </w:rPr>
            </w:pPr>
            <w:r>
              <w:rPr>
                <w:rFonts w:ascii="Times New Roman" w:hAnsi="Times New Roman" w:eastAsia="宋体"/>
                <w:spacing w:val="0"/>
                <w:kern w:val="0"/>
                <w:sz w:val="18"/>
                <w:szCs w:val="18"/>
              </w:rPr>
              <w:t>转增资本</w:t>
            </w:r>
          </w:p>
        </w:tc>
        <w:tc>
          <w:tcPr>
            <w:tcW w:w="1387"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p>
        </w:tc>
        <w:tc>
          <w:tcPr>
            <w:tcW w:w="1387"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p>
        </w:tc>
        <w:tc>
          <w:tcPr>
            <w:tcW w:w="1387"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p>
        </w:tc>
        <w:tc>
          <w:tcPr>
            <w:tcW w:w="1387"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p>
        </w:tc>
        <w:tc>
          <w:tcPr>
            <w:tcW w:w="1578"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2036" w:type="dxa"/>
            <w:tcBorders>
              <w:top w:val="nil"/>
              <w:left w:val="single" w:color="auto" w:sz="8" w:space="0"/>
              <w:bottom w:val="single" w:color="auto" w:sz="4" w:space="0"/>
              <w:right w:val="single" w:color="auto" w:sz="4" w:space="0"/>
            </w:tcBorders>
            <w:vAlign w:val="center"/>
          </w:tcPr>
          <w:p>
            <w:pPr>
              <w:widowControl/>
              <w:spacing w:line="240" w:lineRule="auto"/>
              <w:jc w:val="left"/>
              <w:rPr>
                <w:rFonts w:ascii="Times New Roman" w:hAnsi="Times New Roman" w:eastAsia="宋体"/>
                <w:spacing w:val="0"/>
                <w:kern w:val="0"/>
                <w:sz w:val="18"/>
                <w:szCs w:val="18"/>
              </w:rPr>
            </w:pPr>
            <w:r>
              <w:rPr>
                <w:rFonts w:ascii="Times New Roman" w:hAnsi="Times New Roman" w:eastAsia="宋体"/>
                <w:spacing w:val="0"/>
                <w:kern w:val="0"/>
                <w:sz w:val="18"/>
                <w:szCs w:val="18"/>
              </w:rPr>
              <w:t>其他</w:t>
            </w:r>
          </w:p>
        </w:tc>
        <w:tc>
          <w:tcPr>
            <w:tcW w:w="1387"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p>
        </w:tc>
        <w:tc>
          <w:tcPr>
            <w:tcW w:w="1387"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p>
        </w:tc>
        <w:tc>
          <w:tcPr>
            <w:tcW w:w="1387"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p>
        </w:tc>
        <w:tc>
          <w:tcPr>
            <w:tcW w:w="1387"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p>
        </w:tc>
        <w:tc>
          <w:tcPr>
            <w:tcW w:w="1578"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2036" w:type="dxa"/>
            <w:tcBorders>
              <w:top w:val="nil"/>
              <w:left w:val="single" w:color="auto" w:sz="8" w:space="0"/>
              <w:bottom w:val="single" w:color="auto" w:sz="4" w:space="0"/>
              <w:right w:val="single" w:color="auto" w:sz="4" w:space="0"/>
            </w:tcBorders>
            <w:vAlign w:val="center"/>
          </w:tcPr>
          <w:p>
            <w:pPr>
              <w:widowControl/>
              <w:spacing w:line="240" w:lineRule="auto"/>
              <w:jc w:val="left"/>
              <w:rPr>
                <w:rFonts w:ascii="Times New Roman" w:hAnsi="Times New Roman" w:eastAsia="宋体"/>
                <w:spacing w:val="0"/>
                <w:kern w:val="0"/>
                <w:sz w:val="18"/>
                <w:szCs w:val="18"/>
              </w:rPr>
            </w:pPr>
            <w:r>
              <w:rPr>
                <w:rFonts w:ascii="Times New Roman" w:hAnsi="Times New Roman" w:eastAsia="宋体"/>
                <w:spacing w:val="0"/>
                <w:kern w:val="0"/>
                <w:sz w:val="18"/>
                <w:szCs w:val="18"/>
              </w:rPr>
              <w:t>年末未分配利润</w:t>
            </w:r>
          </w:p>
        </w:tc>
        <w:tc>
          <w:tcPr>
            <w:tcW w:w="1387"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3,768,883.23</w:t>
            </w:r>
          </w:p>
        </w:tc>
        <w:tc>
          <w:tcPr>
            <w:tcW w:w="1387"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6,188,385.88</w:t>
            </w:r>
          </w:p>
        </w:tc>
        <w:tc>
          <w:tcPr>
            <w:tcW w:w="1387"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9,025,509.78</w:t>
            </w:r>
          </w:p>
        </w:tc>
        <w:tc>
          <w:tcPr>
            <w:tcW w:w="1387"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11,957,156.37</w:t>
            </w:r>
          </w:p>
        </w:tc>
        <w:tc>
          <w:tcPr>
            <w:tcW w:w="1578"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14,810,736.30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2036" w:type="dxa"/>
            <w:tcBorders>
              <w:top w:val="nil"/>
              <w:left w:val="single" w:color="auto" w:sz="8" w:space="0"/>
              <w:bottom w:val="single" w:color="auto" w:sz="4" w:space="0"/>
              <w:right w:val="single" w:color="auto" w:sz="4" w:space="0"/>
            </w:tcBorders>
            <w:vAlign w:val="center"/>
          </w:tcPr>
          <w:p>
            <w:pPr>
              <w:widowControl/>
              <w:spacing w:line="240" w:lineRule="auto"/>
              <w:jc w:val="left"/>
              <w:rPr>
                <w:rFonts w:ascii="Times New Roman" w:hAnsi="Times New Roman" w:eastAsia="宋体"/>
                <w:bCs/>
                <w:spacing w:val="0"/>
                <w:kern w:val="0"/>
                <w:sz w:val="18"/>
                <w:szCs w:val="18"/>
              </w:rPr>
            </w:pPr>
            <w:r>
              <w:rPr>
                <w:rFonts w:ascii="Times New Roman" w:hAnsi="Times New Roman" w:eastAsia="宋体"/>
                <w:bCs/>
                <w:spacing w:val="0"/>
                <w:kern w:val="0"/>
                <w:sz w:val="18"/>
                <w:szCs w:val="18"/>
              </w:rPr>
              <w:t>外币报表折算差额</w:t>
            </w:r>
          </w:p>
        </w:tc>
        <w:tc>
          <w:tcPr>
            <w:tcW w:w="1387"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p>
        </w:tc>
        <w:tc>
          <w:tcPr>
            <w:tcW w:w="1387"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p>
        </w:tc>
        <w:tc>
          <w:tcPr>
            <w:tcW w:w="1387"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p>
        </w:tc>
        <w:tc>
          <w:tcPr>
            <w:tcW w:w="1387"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p>
        </w:tc>
        <w:tc>
          <w:tcPr>
            <w:tcW w:w="1578"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2036" w:type="dxa"/>
            <w:tcBorders>
              <w:top w:val="nil"/>
              <w:left w:val="single" w:color="auto" w:sz="8" w:space="0"/>
              <w:bottom w:val="single" w:color="auto" w:sz="4" w:space="0"/>
              <w:right w:val="single" w:color="auto" w:sz="4" w:space="0"/>
            </w:tcBorders>
            <w:vAlign w:val="center"/>
          </w:tcPr>
          <w:p>
            <w:pPr>
              <w:widowControl/>
              <w:spacing w:line="240" w:lineRule="auto"/>
              <w:jc w:val="left"/>
              <w:rPr>
                <w:rFonts w:ascii="Times New Roman" w:hAnsi="Times New Roman" w:eastAsia="宋体"/>
                <w:spacing w:val="0"/>
                <w:kern w:val="0"/>
                <w:sz w:val="18"/>
                <w:szCs w:val="18"/>
              </w:rPr>
            </w:pPr>
            <w:r>
              <w:rPr>
                <w:rFonts w:ascii="Times New Roman" w:hAnsi="Times New Roman" w:eastAsia="宋体"/>
                <w:spacing w:val="0"/>
                <w:kern w:val="0"/>
                <w:sz w:val="18"/>
                <w:szCs w:val="18"/>
              </w:rPr>
              <w:t>年末数</w:t>
            </w:r>
          </w:p>
        </w:tc>
        <w:tc>
          <w:tcPr>
            <w:tcW w:w="1387"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w:t>
            </w:r>
          </w:p>
        </w:tc>
        <w:tc>
          <w:tcPr>
            <w:tcW w:w="1387"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w:t>
            </w:r>
          </w:p>
        </w:tc>
        <w:tc>
          <w:tcPr>
            <w:tcW w:w="1387"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w:t>
            </w:r>
          </w:p>
        </w:tc>
        <w:tc>
          <w:tcPr>
            <w:tcW w:w="1387"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w:t>
            </w:r>
          </w:p>
        </w:tc>
        <w:tc>
          <w:tcPr>
            <w:tcW w:w="1578"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trPr>
        <w:tc>
          <w:tcPr>
            <w:tcW w:w="2036" w:type="dxa"/>
            <w:tcBorders>
              <w:top w:val="nil"/>
              <w:left w:val="single" w:color="auto" w:sz="8" w:space="0"/>
              <w:bottom w:val="single" w:color="auto" w:sz="8" w:space="0"/>
              <w:right w:val="single" w:color="auto" w:sz="4" w:space="0"/>
            </w:tcBorders>
            <w:vAlign w:val="center"/>
          </w:tcPr>
          <w:p>
            <w:pPr>
              <w:widowControl/>
              <w:spacing w:line="240" w:lineRule="auto"/>
              <w:jc w:val="left"/>
              <w:rPr>
                <w:rFonts w:ascii="Times New Roman" w:hAnsi="Times New Roman" w:eastAsia="宋体"/>
                <w:bCs/>
                <w:spacing w:val="0"/>
                <w:kern w:val="0"/>
                <w:sz w:val="18"/>
                <w:szCs w:val="18"/>
              </w:rPr>
            </w:pPr>
            <w:r>
              <w:rPr>
                <w:rFonts w:ascii="Times New Roman" w:hAnsi="Times New Roman" w:eastAsia="宋体"/>
                <w:bCs/>
                <w:spacing w:val="0"/>
                <w:kern w:val="0"/>
                <w:sz w:val="18"/>
                <w:szCs w:val="18"/>
              </w:rPr>
              <w:t>年末所有者权益合计</w:t>
            </w:r>
          </w:p>
        </w:tc>
        <w:tc>
          <w:tcPr>
            <w:tcW w:w="1387" w:type="dxa"/>
            <w:tcBorders>
              <w:top w:val="single" w:color="auto" w:sz="4" w:space="0"/>
              <w:left w:val="nil"/>
              <w:bottom w:val="single" w:color="auto" w:sz="8"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16,571,670.70</w:t>
            </w:r>
          </w:p>
        </w:tc>
        <w:tc>
          <w:tcPr>
            <w:tcW w:w="1387" w:type="dxa"/>
            <w:tcBorders>
              <w:top w:val="single" w:color="auto" w:sz="4" w:space="0"/>
              <w:left w:val="nil"/>
              <w:bottom w:val="single" w:color="auto" w:sz="8"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19,645,092.99</w:t>
            </w:r>
          </w:p>
        </w:tc>
        <w:tc>
          <w:tcPr>
            <w:tcW w:w="1387" w:type="dxa"/>
            <w:tcBorders>
              <w:top w:val="single" w:color="auto" w:sz="4" w:space="0"/>
              <w:left w:val="nil"/>
              <w:bottom w:val="single" w:color="auto" w:sz="8"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23,209,684.57</w:t>
            </w:r>
          </w:p>
        </w:tc>
        <w:tc>
          <w:tcPr>
            <w:tcW w:w="1387" w:type="dxa"/>
            <w:tcBorders>
              <w:top w:val="single" w:color="auto" w:sz="4" w:space="0"/>
              <w:left w:val="nil"/>
              <w:bottom w:val="single" w:color="auto" w:sz="8"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26,944,522.02</w:t>
            </w:r>
          </w:p>
        </w:tc>
        <w:tc>
          <w:tcPr>
            <w:tcW w:w="1578" w:type="dxa"/>
            <w:tcBorders>
              <w:top w:val="single" w:color="auto" w:sz="4" w:space="0"/>
              <w:left w:val="nil"/>
              <w:bottom w:val="single" w:color="auto" w:sz="8"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30,676,126.55</w:t>
            </w:r>
          </w:p>
        </w:tc>
      </w:tr>
    </w:tbl>
    <w:p>
      <w:pPr>
        <w:spacing w:line="360" w:lineRule="auto"/>
        <w:ind w:firstLine="584" w:firstLineChars="200"/>
        <w:rPr>
          <w:rFonts w:ascii="Times New Roman" w:hAnsi="Times New Roman"/>
          <w:sz w:val="28"/>
        </w:rPr>
      </w:pPr>
    </w:p>
    <w:p>
      <w:pPr>
        <w:spacing w:line="360" w:lineRule="auto"/>
        <w:ind w:firstLine="584" w:firstLineChars="200"/>
        <w:rPr>
          <w:rFonts w:ascii="Times New Roman" w:hAnsi="Times New Roman"/>
          <w:sz w:val="28"/>
        </w:rPr>
      </w:pPr>
      <w:r>
        <w:rPr>
          <w:rFonts w:ascii="Times New Roman" w:hAnsi="Times New Roman"/>
          <w:sz w:val="28"/>
        </w:rPr>
        <w:t>权益增加额=本年所有者权益合计－上年所有者权益合计</w:t>
      </w:r>
    </w:p>
    <w:p>
      <w:pPr>
        <w:widowControl/>
        <w:spacing w:line="240" w:lineRule="auto"/>
        <w:jc w:val="left"/>
        <w:rPr>
          <w:rFonts w:ascii="Times New Roman" w:hAnsi="Times New Roman"/>
          <w:sz w:val="28"/>
        </w:rPr>
      </w:pPr>
      <w:r>
        <w:rPr>
          <w:rFonts w:ascii="Times New Roman" w:hAnsi="Times New Roman"/>
          <w:sz w:val="28"/>
        </w:rPr>
        <w:br w:type="page"/>
      </w:r>
    </w:p>
    <w:p>
      <w:pPr>
        <w:spacing w:line="360" w:lineRule="auto"/>
        <w:ind w:firstLine="638" w:firstLineChars="200"/>
        <w:outlineLvl w:val="0"/>
        <w:rPr>
          <w:rFonts w:ascii="Times New Roman" w:hAnsi="Times New Roman"/>
          <w:b/>
          <w:spacing w:val="-1"/>
          <w:sz w:val="32"/>
          <w:szCs w:val="32"/>
          <w:lang w:val="zh-TW" w:eastAsia="zh-TW"/>
        </w:rPr>
      </w:pPr>
      <w:r>
        <w:rPr>
          <w:rFonts w:ascii="Times New Roman" w:hAnsi="Times New Roman"/>
          <w:b/>
          <w:spacing w:val="-1"/>
          <w:sz w:val="32"/>
          <w:szCs w:val="32"/>
          <w:lang w:val="zh-TW" w:eastAsia="zh-TW"/>
        </w:rPr>
        <w:t>案例</w:t>
      </w:r>
      <w:r>
        <w:rPr>
          <w:rFonts w:hint="eastAsia" w:ascii="Times New Roman" w:hAnsi="Times New Roman"/>
          <w:b/>
          <w:spacing w:val="-1"/>
          <w:sz w:val="32"/>
          <w:szCs w:val="32"/>
          <w:lang w:val="zh-TW"/>
        </w:rPr>
        <w:t>三</w:t>
      </w:r>
      <w:r>
        <w:rPr>
          <w:rFonts w:ascii="Times New Roman" w:hAnsi="Times New Roman"/>
          <w:b/>
          <w:spacing w:val="-1"/>
          <w:sz w:val="32"/>
          <w:szCs w:val="32"/>
          <w:lang w:val="zh-TW" w:eastAsia="zh-TW"/>
        </w:rPr>
        <w:t>：银行的利息收入和手续费收入预测</w:t>
      </w:r>
    </w:p>
    <w:p>
      <w:pPr>
        <w:spacing w:line="360" w:lineRule="auto"/>
        <w:ind w:firstLine="556" w:firstLineChars="200"/>
        <w:rPr>
          <w:rFonts w:ascii="Times New Roman" w:hAnsi="Times New Roman"/>
          <w:spacing w:val="-1"/>
          <w:sz w:val="28"/>
          <w:szCs w:val="28"/>
          <w:lang w:val="zh-TW"/>
        </w:rPr>
      </w:pPr>
      <w:r>
        <w:rPr>
          <w:rFonts w:hint="eastAsia" w:ascii="Times New Roman" w:hAnsi="Times New Roman"/>
          <w:spacing w:val="-1"/>
          <w:sz w:val="28"/>
          <w:szCs w:val="28"/>
          <w:lang w:val="zh-TW"/>
        </w:rPr>
        <w:t>1．</w:t>
      </w:r>
      <w:r>
        <w:rPr>
          <w:rFonts w:ascii="Times New Roman" w:hAnsi="Times New Roman"/>
          <w:spacing w:val="-1"/>
          <w:sz w:val="28"/>
          <w:szCs w:val="28"/>
          <w:lang w:val="zh-TW"/>
        </w:rPr>
        <w:t xml:space="preserve">利息收入预测 </w:t>
      </w:r>
    </w:p>
    <w:p>
      <w:pPr>
        <w:spacing w:line="360" w:lineRule="auto"/>
        <w:ind w:firstLine="636" w:firstLineChars="200"/>
        <w:rPr>
          <w:rFonts w:ascii="Times New Roman" w:hAnsi="Times New Roman"/>
          <w:kern w:val="0"/>
          <w:sz w:val="28"/>
          <w:szCs w:val="28"/>
        </w:rPr>
      </w:pPr>
      <w:r>
        <w:rPr>
          <w:rFonts w:ascii="Times New Roman" w:hAnsi="Times New Roman"/>
          <w:spacing w:val="-1"/>
          <w:sz w:val="32"/>
          <w:szCs w:val="32"/>
          <w:lang w:val="zh-TW"/>
        </w:rPr>
        <w:t>xx</w:t>
      </w:r>
      <w:r>
        <w:rPr>
          <w:rFonts w:ascii="Times New Roman" w:hAnsi="Times New Roman"/>
          <w:kern w:val="0"/>
          <w:sz w:val="28"/>
          <w:szCs w:val="28"/>
        </w:rPr>
        <w:t>银行是一家快速成长的金融企业，具有较强的超额收益能力、完备的管理体制、成熟的团队及较高的市场开拓能力，自成立以来一直保持了较高的成长速度。客户存款快速增长，从20</w:t>
      </w:r>
      <w:r>
        <w:rPr>
          <w:rFonts w:hint="eastAsia" w:ascii="Times New Roman" w:hAnsi="Times New Roman"/>
          <w:kern w:val="0"/>
          <w:sz w:val="28"/>
          <w:szCs w:val="28"/>
        </w:rPr>
        <w:t>y</w:t>
      </w:r>
      <w:r>
        <w:rPr>
          <w:rFonts w:ascii="Times New Roman" w:hAnsi="Times New Roman"/>
          <w:kern w:val="0"/>
          <w:sz w:val="28"/>
          <w:szCs w:val="28"/>
        </w:rPr>
        <w:t>6年到20x0年6月复合增长率达到27.2%；20</w:t>
      </w:r>
      <w:r>
        <w:rPr>
          <w:rFonts w:hint="eastAsia" w:ascii="Times New Roman" w:hAnsi="Times New Roman"/>
          <w:kern w:val="0"/>
          <w:sz w:val="28"/>
          <w:szCs w:val="28"/>
        </w:rPr>
        <w:t>y6到</w:t>
      </w:r>
      <w:r>
        <w:rPr>
          <w:rFonts w:ascii="Times New Roman" w:hAnsi="Times New Roman"/>
          <w:kern w:val="0"/>
          <w:sz w:val="28"/>
          <w:szCs w:val="28"/>
        </w:rPr>
        <w:t>20x0年贷款增长虽然受监管部门规模的控制，但增长仍快于市场，从20</w:t>
      </w:r>
      <w:r>
        <w:rPr>
          <w:rFonts w:hint="eastAsia" w:ascii="Times New Roman" w:hAnsi="Times New Roman"/>
          <w:kern w:val="0"/>
          <w:sz w:val="28"/>
          <w:szCs w:val="28"/>
        </w:rPr>
        <w:t>y</w:t>
      </w:r>
      <w:r>
        <w:rPr>
          <w:rFonts w:ascii="Times New Roman" w:hAnsi="Times New Roman"/>
          <w:kern w:val="0"/>
          <w:sz w:val="28"/>
          <w:szCs w:val="28"/>
        </w:rPr>
        <w:t>6年到20x0年6月复合增长率达到30.5%；营业收入已从20</w:t>
      </w:r>
      <w:r>
        <w:rPr>
          <w:rFonts w:hint="eastAsia" w:ascii="Times New Roman" w:hAnsi="Times New Roman"/>
          <w:kern w:val="0"/>
          <w:sz w:val="28"/>
          <w:szCs w:val="28"/>
        </w:rPr>
        <w:t>y</w:t>
      </w:r>
      <w:r>
        <w:rPr>
          <w:rFonts w:ascii="Times New Roman" w:hAnsi="Times New Roman"/>
          <w:kern w:val="0"/>
          <w:sz w:val="28"/>
          <w:szCs w:val="28"/>
        </w:rPr>
        <w:t>6年的21.11亿元达到20</w:t>
      </w:r>
      <w:r>
        <w:rPr>
          <w:rFonts w:hint="eastAsia" w:ascii="Times New Roman" w:hAnsi="Times New Roman"/>
          <w:kern w:val="0"/>
          <w:sz w:val="28"/>
          <w:szCs w:val="28"/>
        </w:rPr>
        <w:t>y</w:t>
      </w:r>
      <w:r>
        <w:rPr>
          <w:rFonts w:ascii="Times New Roman" w:hAnsi="Times New Roman"/>
          <w:kern w:val="0"/>
          <w:sz w:val="28"/>
          <w:szCs w:val="28"/>
        </w:rPr>
        <w:t>9年的42.82亿元，截止到20x0年6月营业收入已达到28.92亿元。</w:t>
      </w:r>
    </w:p>
    <w:p>
      <w:pPr>
        <w:spacing w:line="360" w:lineRule="auto"/>
        <w:ind w:firstLine="584" w:firstLineChars="200"/>
        <w:rPr>
          <w:rFonts w:ascii="Times New Roman" w:hAnsi="Times New Roman"/>
          <w:kern w:val="0"/>
          <w:sz w:val="28"/>
          <w:szCs w:val="28"/>
        </w:rPr>
      </w:pPr>
      <w:r>
        <w:rPr>
          <w:rFonts w:hint="eastAsia" w:ascii="Times New Roman" w:hAnsi="Times New Roman"/>
          <w:kern w:val="0"/>
          <w:sz w:val="28"/>
          <w:szCs w:val="28"/>
        </w:rPr>
        <w:t>（1）</w:t>
      </w:r>
      <w:r>
        <w:rPr>
          <w:rFonts w:ascii="Times New Roman" w:hAnsi="Times New Roman"/>
          <w:kern w:val="0"/>
          <w:sz w:val="28"/>
          <w:szCs w:val="28"/>
        </w:rPr>
        <w:t>同行业商业银行上市后贷款复合增长速度比较表</w:t>
      </w:r>
    </w:p>
    <w:tbl>
      <w:tblPr>
        <w:tblStyle w:val="27"/>
        <w:tblW w:w="7726" w:type="dxa"/>
        <w:jc w:val="center"/>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4"/>
        <w:gridCol w:w="2281"/>
        <w:gridCol w:w="1720"/>
        <w:gridCol w:w="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2544" w:type="dxa"/>
            <w:vAlign w:val="center"/>
          </w:tcPr>
          <w:p>
            <w:pPr>
              <w:widowControl/>
              <w:spacing w:line="240" w:lineRule="auto"/>
              <w:jc w:val="center"/>
              <w:rPr>
                <w:rFonts w:ascii="Times New Roman" w:hAnsi="Times New Roman" w:eastAsia="宋体"/>
                <w:b/>
                <w:bCs/>
                <w:kern w:val="0"/>
                <w:sz w:val="18"/>
                <w:szCs w:val="18"/>
              </w:rPr>
            </w:pPr>
            <w:r>
              <w:rPr>
                <w:rFonts w:ascii="Times New Roman" w:hAnsi="宋体" w:eastAsia="宋体"/>
                <w:b/>
                <w:bCs/>
                <w:kern w:val="0"/>
                <w:sz w:val="18"/>
                <w:szCs w:val="18"/>
              </w:rPr>
              <w:t>证券代码</w:t>
            </w:r>
          </w:p>
        </w:tc>
        <w:tc>
          <w:tcPr>
            <w:tcW w:w="2281" w:type="dxa"/>
            <w:vAlign w:val="center"/>
          </w:tcPr>
          <w:p>
            <w:pPr>
              <w:widowControl/>
              <w:spacing w:line="240" w:lineRule="auto"/>
              <w:jc w:val="center"/>
              <w:rPr>
                <w:rFonts w:ascii="Times New Roman" w:hAnsi="Times New Roman" w:eastAsia="宋体"/>
                <w:b/>
                <w:bCs/>
                <w:kern w:val="0"/>
                <w:sz w:val="18"/>
                <w:szCs w:val="18"/>
              </w:rPr>
            </w:pPr>
            <w:r>
              <w:rPr>
                <w:rFonts w:ascii="Times New Roman" w:hAnsi="宋体" w:eastAsia="宋体"/>
                <w:b/>
                <w:bCs/>
                <w:kern w:val="0"/>
                <w:sz w:val="18"/>
                <w:szCs w:val="18"/>
              </w:rPr>
              <w:t>证券简称</w:t>
            </w:r>
          </w:p>
        </w:tc>
        <w:tc>
          <w:tcPr>
            <w:tcW w:w="1720" w:type="dxa"/>
            <w:vAlign w:val="center"/>
          </w:tcPr>
          <w:p>
            <w:pPr>
              <w:widowControl/>
              <w:spacing w:line="240" w:lineRule="auto"/>
              <w:jc w:val="center"/>
              <w:rPr>
                <w:rFonts w:ascii="Times New Roman" w:hAnsi="Times New Roman" w:eastAsia="宋体"/>
                <w:b/>
                <w:bCs/>
                <w:kern w:val="0"/>
                <w:sz w:val="18"/>
                <w:szCs w:val="18"/>
              </w:rPr>
            </w:pPr>
            <w:r>
              <w:rPr>
                <w:rFonts w:ascii="Times New Roman" w:hAnsi="宋体" w:eastAsia="宋体"/>
                <w:b/>
                <w:bCs/>
                <w:kern w:val="0"/>
                <w:sz w:val="18"/>
                <w:szCs w:val="18"/>
              </w:rPr>
              <w:t>贷款</w:t>
            </w:r>
          </w:p>
        </w:tc>
        <w:tc>
          <w:tcPr>
            <w:tcW w:w="1181" w:type="dxa"/>
            <w:vAlign w:val="center"/>
          </w:tcPr>
          <w:p>
            <w:pPr>
              <w:widowControl/>
              <w:spacing w:line="240" w:lineRule="auto"/>
              <w:jc w:val="center"/>
              <w:rPr>
                <w:rFonts w:ascii="Times New Roman" w:hAnsi="Times New Roman" w:eastAsia="宋体"/>
                <w:b/>
                <w:bCs/>
                <w:kern w:val="0"/>
                <w:sz w:val="18"/>
                <w:szCs w:val="18"/>
              </w:rPr>
            </w:pPr>
            <w:r>
              <w:rPr>
                <w:rFonts w:ascii="Times New Roman" w:hAnsi="宋体" w:eastAsia="宋体"/>
                <w:b/>
                <w:bCs/>
                <w:kern w:val="0"/>
                <w:sz w:val="18"/>
                <w:szCs w:val="18"/>
              </w:rPr>
              <w:t>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jc w:val="center"/>
        </w:trPr>
        <w:tc>
          <w:tcPr>
            <w:tcW w:w="2544" w:type="dxa"/>
            <w:vAlign w:val="center"/>
          </w:tcPr>
          <w:p>
            <w:pPr>
              <w:widowControl/>
              <w:spacing w:line="240" w:lineRule="auto"/>
              <w:jc w:val="left"/>
              <w:rPr>
                <w:rFonts w:ascii="Times New Roman" w:hAnsi="Times New Roman" w:eastAsia="宋体"/>
                <w:kern w:val="0"/>
                <w:sz w:val="18"/>
                <w:szCs w:val="18"/>
              </w:rPr>
            </w:pPr>
            <w:r>
              <w:rPr>
                <w:rFonts w:ascii="Times New Roman" w:hAnsi="Times New Roman" w:eastAsia="宋体"/>
                <w:kern w:val="0"/>
                <w:sz w:val="18"/>
                <w:szCs w:val="18"/>
              </w:rPr>
              <w:t>000001.SZ</w:t>
            </w:r>
          </w:p>
        </w:tc>
        <w:tc>
          <w:tcPr>
            <w:tcW w:w="2281" w:type="dxa"/>
            <w:vAlign w:val="center"/>
          </w:tcPr>
          <w:p>
            <w:pPr>
              <w:widowControl/>
              <w:spacing w:line="240" w:lineRule="auto"/>
              <w:jc w:val="left"/>
              <w:rPr>
                <w:rFonts w:ascii="Times New Roman" w:hAnsi="Times New Roman" w:eastAsia="宋体"/>
                <w:kern w:val="0"/>
                <w:sz w:val="18"/>
                <w:szCs w:val="18"/>
              </w:rPr>
            </w:pPr>
            <w:r>
              <w:rPr>
                <w:rFonts w:ascii="Times New Roman" w:hAnsi="宋体" w:eastAsia="宋体"/>
                <w:kern w:val="0"/>
                <w:sz w:val="18"/>
                <w:szCs w:val="18"/>
              </w:rPr>
              <w:t>深发展</w:t>
            </w:r>
            <w:r>
              <w:rPr>
                <w:rFonts w:ascii="Times New Roman" w:hAnsi="Times New Roman" w:eastAsia="宋体"/>
                <w:kern w:val="0"/>
                <w:sz w:val="18"/>
                <w:szCs w:val="18"/>
              </w:rPr>
              <w:t>A</w:t>
            </w:r>
          </w:p>
        </w:tc>
        <w:tc>
          <w:tcPr>
            <w:tcW w:w="1720" w:type="dxa"/>
            <w:vAlign w:val="center"/>
          </w:tcPr>
          <w:p>
            <w:pPr>
              <w:widowControl/>
              <w:spacing w:line="240" w:lineRule="auto"/>
              <w:jc w:val="right"/>
              <w:rPr>
                <w:rFonts w:ascii="Times New Roman" w:hAnsi="Times New Roman" w:eastAsia="宋体"/>
                <w:kern w:val="0"/>
                <w:sz w:val="18"/>
                <w:szCs w:val="18"/>
              </w:rPr>
            </w:pPr>
            <w:r>
              <w:rPr>
                <w:rFonts w:ascii="Times New Roman" w:hAnsi="Times New Roman" w:eastAsia="宋体"/>
                <w:kern w:val="0"/>
                <w:sz w:val="18"/>
                <w:szCs w:val="18"/>
              </w:rPr>
              <w:t>29.77%</w:t>
            </w:r>
          </w:p>
        </w:tc>
        <w:tc>
          <w:tcPr>
            <w:tcW w:w="1181" w:type="dxa"/>
            <w:vAlign w:val="center"/>
          </w:tcPr>
          <w:p>
            <w:pPr>
              <w:widowControl/>
              <w:spacing w:line="240" w:lineRule="auto"/>
              <w:jc w:val="right"/>
              <w:rPr>
                <w:rFonts w:ascii="Times New Roman" w:hAnsi="Times New Roman" w:eastAsia="宋体"/>
                <w:kern w:val="0"/>
                <w:sz w:val="18"/>
                <w:szCs w:val="18"/>
              </w:rPr>
            </w:pPr>
            <w:r>
              <w:rPr>
                <w:rFonts w:ascii="Times New Roman" w:hAnsi="Times New Roman" w:eastAsia="宋体"/>
                <w:kern w:val="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jc w:val="center"/>
        </w:trPr>
        <w:tc>
          <w:tcPr>
            <w:tcW w:w="2544" w:type="dxa"/>
            <w:vAlign w:val="center"/>
          </w:tcPr>
          <w:p>
            <w:pPr>
              <w:widowControl/>
              <w:spacing w:line="240" w:lineRule="auto"/>
              <w:jc w:val="left"/>
              <w:rPr>
                <w:rFonts w:ascii="Times New Roman" w:hAnsi="Times New Roman" w:eastAsia="宋体"/>
                <w:kern w:val="0"/>
                <w:sz w:val="18"/>
                <w:szCs w:val="18"/>
              </w:rPr>
            </w:pPr>
            <w:r>
              <w:rPr>
                <w:rFonts w:ascii="Times New Roman" w:hAnsi="Times New Roman" w:eastAsia="宋体"/>
                <w:kern w:val="0"/>
                <w:sz w:val="18"/>
                <w:szCs w:val="18"/>
              </w:rPr>
              <w:t>002142.SZ</w:t>
            </w:r>
          </w:p>
        </w:tc>
        <w:tc>
          <w:tcPr>
            <w:tcW w:w="2281" w:type="dxa"/>
            <w:vAlign w:val="center"/>
          </w:tcPr>
          <w:p>
            <w:pPr>
              <w:widowControl/>
              <w:spacing w:line="240" w:lineRule="auto"/>
              <w:jc w:val="left"/>
              <w:rPr>
                <w:rFonts w:ascii="Times New Roman" w:hAnsi="Times New Roman" w:eastAsia="宋体"/>
                <w:kern w:val="0"/>
                <w:sz w:val="18"/>
                <w:szCs w:val="18"/>
              </w:rPr>
            </w:pPr>
            <w:r>
              <w:rPr>
                <w:rFonts w:ascii="Times New Roman" w:hAnsi="宋体" w:eastAsia="宋体"/>
                <w:kern w:val="0"/>
                <w:sz w:val="18"/>
                <w:szCs w:val="18"/>
              </w:rPr>
              <w:t>宁波银行</w:t>
            </w:r>
          </w:p>
        </w:tc>
        <w:tc>
          <w:tcPr>
            <w:tcW w:w="1720" w:type="dxa"/>
            <w:vAlign w:val="center"/>
          </w:tcPr>
          <w:p>
            <w:pPr>
              <w:widowControl/>
              <w:spacing w:line="240" w:lineRule="auto"/>
              <w:jc w:val="right"/>
              <w:rPr>
                <w:rFonts w:ascii="Times New Roman" w:hAnsi="Times New Roman" w:eastAsia="宋体"/>
                <w:kern w:val="0"/>
                <w:sz w:val="18"/>
                <w:szCs w:val="18"/>
              </w:rPr>
            </w:pPr>
            <w:r>
              <w:rPr>
                <w:rFonts w:ascii="Times New Roman" w:hAnsi="Times New Roman" w:eastAsia="宋体"/>
                <w:kern w:val="0"/>
                <w:sz w:val="18"/>
                <w:szCs w:val="18"/>
              </w:rPr>
              <w:t>36.47%</w:t>
            </w:r>
          </w:p>
        </w:tc>
        <w:tc>
          <w:tcPr>
            <w:tcW w:w="1181" w:type="dxa"/>
            <w:vAlign w:val="center"/>
          </w:tcPr>
          <w:p>
            <w:pPr>
              <w:widowControl/>
              <w:spacing w:line="240" w:lineRule="auto"/>
              <w:jc w:val="right"/>
              <w:rPr>
                <w:rFonts w:ascii="Times New Roman" w:hAnsi="Times New Roman" w:eastAsia="宋体"/>
                <w:kern w:val="0"/>
                <w:sz w:val="18"/>
                <w:szCs w:val="18"/>
              </w:rPr>
            </w:pPr>
            <w:r>
              <w:rPr>
                <w:rFonts w:ascii="Times New Roman" w:hAnsi="Times New Roman" w:eastAsia="宋体"/>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jc w:val="center"/>
        </w:trPr>
        <w:tc>
          <w:tcPr>
            <w:tcW w:w="2544" w:type="dxa"/>
            <w:vAlign w:val="center"/>
          </w:tcPr>
          <w:p>
            <w:pPr>
              <w:widowControl/>
              <w:spacing w:line="240" w:lineRule="auto"/>
              <w:jc w:val="left"/>
              <w:rPr>
                <w:rFonts w:ascii="Times New Roman" w:hAnsi="Times New Roman" w:eastAsia="宋体"/>
                <w:kern w:val="0"/>
                <w:sz w:val="18"/>
                <w:szCs w:val="18"/>
              </w:rPr>
            </w:pPr>
            <w:r>
              <w:rPr>
                <w:rFonts w:ascii="Times New Roman" w:hAnsi="Times New Roman" w:eastAsia="宋体"/>
                <w:kern w:val="0"/>
                <w:sz w:val="18"/>
                <w:szCs w:val="18"/>
              </w:rPr>
              <w:t>600000.SH</w:t>
            </w:r>
          </w:p>
        </w:tc>
        <w:tc>
          <w:tcPr>
            <w:tcW w:w="2281" w:type="dxa"/>
            <w:vAlign w:val="center"/>
          </w:tcPr>
          <w:p>
            <w:pPr>
              <w:widowControl/>
              <w:spacing w:line="240" w:lineRule="auto"/>
              <w:jc w:val="left"/>
              <w:rPr>
                <w:rFonts w:ascii="Times New Roman" w:hAnsi="Times New Roman" w:eastAsia="宋体"/>
                <w:kern w:val="0"/>
                <w:sz w:val="18"/>
                <w:szCs w:val="18"/>
              </w:rPr>
            </w:pPr>
            <w:r>
              <w:rPr>
                <w:rFonts w:ascii="Times New Roman" w:hAnsi="宋体" w:eastAsia="宋体"/>
                <w:kern w:val="0"/>
                <w:sz w:val="18"/>
                <w:szCs w:val="18"/>
              </w:rPr>
              <w:t>浦发银行</w:t>
            </w:r>
          </w:p>
        </w:tc>
        <w:tc>
          <w:tcPr>
            <w:tcW w:w="1720" w:type="dxa"/>
            <w:vAlign w:val="center"/>
          </w:tcPr>
          <w:p>
            <w:pPr>
              <w:widowControl/>
              <w:spacing w:line="240" w:lineRule="auto"/>
              <w:jc w:val="right"/>
              <w:rPr>
                <w:rFonts w:ascii="Times New Roman" w:hAnsi="Times New Roman" w:eastAsia="宋体"/>
                <w:kern w:val="0"/>
                <w:sz w:val="18"/>
                <w:szCs w:val="18"/>
              </w:rPr>
            </w:pPr>
            <w:r>
              <w:rPr>
                <w:rFonts w:ascii="Times New Roman" w:hAnsi="Times New Roman" w:eastAsia="宋体"/>
                <w:kern w:val="0"/>
                <w:sz w:val="18"/>
                <w:szCs w:val="18"/>
              </w:rPr>
              <w:t>32.73%</w:t>
            </w:r>
          </w:p>
        </w:tc>
        <w:tc>
          <w:tcPr>
            <w:tcW w:w="1181" w:type="dxa"/>
            <w:vAlign w:val="center"/>
          </w:tcPr>
          <w:p>
            <w:pPr>
              <w:widowControl/>
              <w:spacing w:line="240" w:lineRule="auto"/>
              <w:jc w:val="right"/>
              <w:rPr>
                <w:rFonts w:ascii="Times New Roman" w:hAnsi="Times New Roman" w:eastAsia="宋体"/>
                <w:kern w:val="0"/>
                <w:sz w:val="18"/>
                <w:szCs w:val="18"/>
              </w:rPr>
            </w:pPr>
            <w:r>
              <w:rPr>
                <w:rFonts w:ascii="Times New Roman" w:hAnsi="Times New Roman" w:eastAsia="宋体"/>
                <w:kern w:val="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jc w:val="center"/>
        </w:trPr>
        <w:tc>
          <w:tcPr>
            <w:tcW w:w="2544" w:type="dxa"/>
            <w:vAlign w:val="center"/>
          </w:tcPr>
          <w:p>
            <w:pPr>
              <w:widowControl/>
              <w:spacing w:line="240" w:lineRule="auto"/>
              <w:jc w:val="left"/>
              <w:rPr>
                <w:rFonts w:ascii="Times New Roman" w:hAnsi="Times New Roman" w:eastAsia="宋体"/>
                <w:kern w:val="0"/>
                <w:sz w:val="18"/>
                <w:szCs w:val="18"/>
              </w:rPr>
            </w:pPr>
            <w:r>
              <w:rPr>
                <w:rFonts w:ascii="Times New Roman" w:hAnsi="Times New Roman" w:eastAsia="宋体"/>
                <w:kern w:val="0"/>
                <w:sz w:val="18"/>
                <w:szCs w:val="18"/>
              </w:rPr>
              <w:t>600015.SH</w:t>
            </w:r>
          </w:p>
        </w:tc>
        <w:tc>
          <w:tcPr>
            <w:tcW w:w="2281" w:type="dxa"/>
            <w:vAlign w:val="center"/>
          </w:tcPr>
          <w:p>
            <w:pPr>
              <w:widowControl/>
              <w:spacing w:line="240" w:lineRule="auto"/>
              <w:jc w:val="left"/>
              <w:rPr>
                <w:rFonts w:ascii="Times New Roman" w:hAnsi="Times New Roman" w:eastAsia="宋体"/>
                <w:kern w:val="0"/>
                <w:sz w:val="18"/>
                <w:szCs w:val="18"/>
              </w:rPr>
            </w:pPr>
            <w:r>
              <w:rPr>
                <w:rFonts w:ascii="Times New Roman" w:hAnsi="宋体" w:eastAsia="宋体"/>
                <w:kern w:val="0"/>
                <w:sz w:val="18"/>
                <w:szCs w:val="18"/>
              </w:rPr>
              <w:t>华夏银行</w:t>
            </w:r>
          </w:p>
        </w:tc>
        <w:tc>
          <w:tcPr>
            <w:tcW w:w="1720" w:type="dxa"/>
            <w:vAlign w:val="center"/>
          </w:tcPr>
          <w:p>
            <w:pPr>
              <w:widowControl/>
              <w:spacing w:line="240" w:lineRule="auto"/>
              <w:jc w:val="right"/>
              <w:rPr>
                <w:rFonts w:ascii="Times New Roman" w:hAnsi="Times New Roman" w:eastAsia="宋体"/>
                <w:kern w:val="0"/>
                <w:sz w:val="18"/>
                <w:szCs w:val="18"/>
              </w:rPr>
            </w:pPr>
            <w:r>
              <w:rPr>
                <w:rFonts w:ascii="Times New Roman" w:hAnsi="Times New Roman" w:eastAsia="宋体"/>
                <w:kern w:val="0"/>
                <w:sz w:val="18"/>
                <w:szCs w:val="18"/>
              </w:rPr>
              <w:t>25.28%</w:t>
            </w:r>
          </w:p>
        </w:tc>
        <w:tc>
          <w:tcPr>
            <w:tcW w:w="1181" w:type="dxa"/>
            <w:vAlign w:val="center"/>
          </w:tcPr>
          <w:p>
            <w:pPr>
              <w:widowControl/>
              <w:spacing w:line="240" w:lineRule="auto"/>
              <w:jc w:val="right"/>
              <w:rPr>
                <w:rFonts w:ascii="Times New Roman" w:hAnsi="Times New Roman" w:eastAsia="宋体"/>
                <w:kern w:val="0"/>
                <w:sz w:val="18"/>
                <w:szCs w:val="18"/>
              </w:rPr>
            </w:pPr>
            <w:r>
              <w:rPr>
                <w:rFonts w:ascii="Times New Roman" w:hAnsi="Times New Roman" w:eastAsia="宋体"/>
                <w:kern w:val="0"/>
                <w:sz w:val="18"/>
                <w:szCs w:val="1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jc w:val="center"/>
        </w:trPr>
        <w:tc>
          <w:tcPr>
            <w:tcW w:w="2544" w:type="dxa"/>
            <w:vAlign w:val="center"/>
          </w:tcPr>
          <w:p>
            <w:pPr>
              <w:widowControl/>
              <w:spacing w:line="240" w:lineRule="auto"/>
              <w:jc w:val="left"/>
              <w:rPr>
                <w:rFonts w:ascii="Times New Roman" w:hAnsi="Times New Roman" w:eastAsia="宋体"/>
                <w:kern w:val="0"/>
                <w:sz w:val="18"/>
                <w:szCs w:val="18"/>
              </w:rPr>
            </w:pPr>
            <w:r>
              <w:rPr>
                <w:rFonts w:ascii="Times New Roman" w:hAnsi="Times New Roman" w:eastAsia="宋体"/>
                <w:kern w:val="0"/>
                <w:sz w:val="18"/>
                <w:szCs w:val="18"/>
              </w:rPr>
              <w:t>600016.SH</w:t>
            </w:r>
          </w:p>
        </w:tc>
        <w:tc>
          <w:tcPr>
            <w:tcW w:w="2281" w:type="dxa"/>
            <w:vAlign w:val="center"/>
          </w:tcPr>
          <w:p>
            <w:pPr>
              <w:widowControl/>
              <w:spacing w:line="240" w:lineRule="auto"/>
              <w:jc w:val="left"/>
              <w:rPr>
                <w:rFonts w:ascii="Times New Roman" w:hAnsi="Times New Roman" w:eastAsia="宋体"/>
                <w:kern w:val="0"/>
                <w:sz w:val="18"/>
                <w:szCs w:val="18"/>
              </w:rPr>
            </w:pPr>
            <w:r>
              <w:rPr>
                <w:rFonts w:ascii="Times New Roman" w:hAnsi="宋体" w:eastAsia="宋体"/>
                <w:kern w:val="0"/>
                <w:sz w:val="18"/>
                <w:szCs w:val="18"/>
              </w:rPr>
              <w:t>民生银行</w:t>
            </w:r>
          </w:p>
        </w:tc>
        <w:tc>
          <w:tcPr>
            <w:tcW w:w="1720" w:type="dxa"/>
            <w:vAlign w:val="center"/>
          </w:tcPr>
          <w:p>
            <w:pPr>
              <w:widowControl/>
              <w:spacing w:line="240" w:lineRule="auto"/>
              <w:jc w:val="right"/>
              <w:rPr>
                <w:rFonts w:ascii="Times New Roman" w:hAnsi="Times New Roman" w:eastAsia="宋体"/>
                <w:kern w:val="0"/>
                <w:sz w:val="18"/>
                <w:szCs w:val="18"/>
              </w:rPr>
            </w:pPr>
            <w:r>
              <w:rPr>
                <w:rFonts w:ascii="Times New Roman" w:hAnsi="Times New Roman" w:eastAsia="宋体"/>
                <w:kern w:val="0"/>
                <w:sz w:val="18"/>
                <w:szCs w:val="18"/>
              </w:rPr>
              <w:t>48.63%</w:t>
            </w:r>
          </w:p>
        </w:tc>
        <w:tc>
          <w:tcPr>
            <w:tcW w:w="1181" w:type="dxa"/>
            <w:vAlign w:val="center"/>
          </w:tcPr>
          <w:p>
            <w:pPr>
              <w:widowControl/>
              <w:spacing w:line="240" w:lineRule="auto"/>
              <w:jc w:val="right"/>
              <w:rPr>
                <w:rFonts w:ascii="Times New Roman" w:hAnsi="Times New Roman" w:eastAsia="宋体"/>
                <w:kern w:val="0"/>
                <w:sz w:val="18"/>
                <w:szCs w:val="18"/>
              </w:rPr>
            </w:pPr>
            <w:r>
              <w:rPr>
                <w:rFonts w:ascii="Times New Roman" w:hAnsi="Times New Roman" w:eastAsia="宋体"/>
                <w:kern w:val="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jc w:val="center"/>
        </w:trPr>
        <w:tc>
          <w:tcPr>
            <w:tcW w:w="2544" w:type="dxa"/>
            <w:vAlign w:val="center"/>
          </w:tcPr>
          <w:p>
            <w:pPr>
              <w:widowControl/>
              <w:spacing w:line="240" w:lineRule="auto"/>
              <w:jc w:val="left"/>
              <w:rPr>
                <w:rFonts w:ascii="Times New Roman" w:hAnsi="Times New Roman" w:eastAsia="宋体"/>
                <w:kern w:val="0"/>
                <w:sz w:val="18"/>
                <w:szCs w:val="18"/>
              </w:rPr>
            </w:pPr>
            <w:r>
              <w:rPr>
                <w:rFonts w:ascii="Times New Roman" w:hAnsi="Times New Roman" w:eastAsia="宋体"/>
                <w:kern w:val="0"/>
                <w:sz w:val="18"/>
                <w:szCs w:val="18"/>
              </w:rPr>
              <w:t>600036.SH</w:t>
            </w:r>
          </w:p>
        </w:tc>
        <w:tc>
          <w:tcPr>
            <w:tcW w:w="2281" w:type="dxa"/>
            <w:vAlign w:val="center"/>
          </w:tcPr>
          <w:p>
            <w:pPr>
              <w:widowControl/>
              <w:spacing w:line="240" w:lineRule="auto"/>
              <w:jc w:val="left"/>
              <w:rPr>
                <w:rFonts w:ascii="Times New Roman" w:hAnsi="Times New Roman" w:eastAsia="宋体"/>
                <w:kern w:val="0"/>
                <w:sz w:val="18"/>
                <w:szCs w:val="18"/>
              </w:rPr>
            </w:pPr>
            <w:r>
              <w:rPr>
                <w:rFonts w:ascii="Times New Roman" w:hAnsi="宋体" w:eastAsia="宋体"/>
                <w:kern w:val="0"/>
                <w:sz w:val="18"/>
                <w:szCs w:val="18"/>
              </w:rPr>
              <w:t>招商银行</w:t>
            </w:r>
          </w:p>
        </w:tc>
        <w:tc>
          <w:tcPr>
            <w:tcW w:w="1720" w:type="dxa"/>
            <w:vAlign w:val="center"/>
          </w:tcPr>
          <w:p>
            <w:pPr>
              <w:widowControl/>
              <w:spacing w:line="240" w:lineRule="auto"/>
              <w:jc w:val="right"/>
              <w:rPr>
                <w:rFonts w:ascii="Times New Roman" w:hAnsi="Times New Roman" w:eastAsia="宋体"/>
                <w:kern w:val="0"/>
                <w:sz w:val="18"/>
                <w:szCs w:val="18"/>
              </w:rPr>
            </w:pPr>
            <w:r>
              <w:rPr>
                <w:rFonts w:ascii="Times New Roman" w:hAnsi="Times New Roman" w:eastAsia="宋体"/>
                <w:kern w:val="0"/>
                <w:sz w:val="18"/>
                <w:szCs w:val="18"/>
              </w:rPr>
              <w:t>30.49%</w:t>
            </w:r>
          </w:p>
        </w:tc>
        <w:tc>
          <w:tcPr>
            <w:tcW w:w="1181" w:type="dxa"/>
            <w:vAlign w:val="center"/>
          </w:tcPr>
          <w:p>
            <w:pPr>
              <w:widowControl/>
              <w:spacing w:line="240" w:lineRule="auto"/>
              <w:jc w:val="right"/>
              <w:rPr>
                <w:rFonts w:ascii="Times New Roman" w:hAnsi="Times New Roman" w:eastAsia="宋体"/>
                <w:kern w:val="0"/>
                <w:sz w:val="18"/>
                <w:szCs w:val="18"/>
              </w:rPr>
            </w:pPr>
            <w:r>
              <w:rPr>
                <w:rFonts w:ascii="Times New Roman" w:hAnsi="Times New Roman" w:eastAsia="宋体"/>
                <w:kern w:val="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jc w:val="center"/>
        </w:trPr>
        <w:tc>
          <w:tcPr>
            <w:tcW w:w="2544" w:type="dxa"/>
            <w:vAlign w:val="center"/>
          </w:tcPr>
          <w:p>
            <w:pPr>
              <w:widowControl/>
              <w:spacing w:line="240" w:lineRule="auto"/>
              <w:jc w:val="left"/>
              <w:rPr>
                <w:rFonts w:ascii="Times New Roman" w:hAnsi="Times New Roman" w:eastAsia="宋体"/>
                <w:kern w:val="0"/>
                <w:sz w:val="18"/>
                <w:szCs w:val="18"/>
              </w:rPr>
            </w:pPr>
            <w:r>
              <w:rPr>
                <w:rFonts w:ascii="Times New Roman" w:hAnsi="Times New Roman" w:eastAsia="宋体"/>
                <w:kern w:val="0"/>
                <w:sz w:val="18"/>
                <w:szCs w:val="18"/>
              </w:rPr>
              <w:t>601009.SH</w:t>
            </w:r>
          </w:p>
        </w:tc>
        <w:tc>
          <w:tcPr>
            <w:tcW w:w="2281" w:type="dxa"/>
            <w:vAlign w:val="center"/>
          </w:tcPr>
          <w:p>
            <w:pPr>
              <w:widowControl/>
              <w:spacing w:line="240" w:lineRule="auto"/>
              <w:jc w:val="left"/>
              <w:rPr>
                <w:rFonts w:ascii="Times New Roman" w:hAnsi="Times New Roman" w:eastAsia="宋体"/>
                <w:kern w:val="0"/>
                <w:sz w:val="18"/>
                <w:szCs w:val="18"/>
              </w:rPr>
            </w:pPr>
            <w:r>
              <w:rPr>
                <w:rFonts w:ascii="Times New Roman" w:hAnsi="宋体" w:eastAsia="宋体"/>
                <w:kern w:val="0"/>
                <w:sz w:val="18"/>
                <w:szCs w:val="18"/>
              </w:rPr>
              <w:t>南京银行</w:t>
            </w:r>
          </w:p>
        </w:tc>
        <w:tc>
          <w:tcPr>
            <w:tcW w:w="1720" w:type="dxa"/>
            <w:vAlign w:val="center"/>
          </w:tcPr>
          <w:p>
            <w:pPr>
              <w:widowControl/>
              <w:spacing w:line="240" w:lineRule="auto"/>
              <w:jc w:val="right"/>
              <w:rPr>
                <w:rFonts w:ascii="Times New Roman" w:hAnsi="Times New Roman" w:eastAsia="宋体"/>
                <w:kern w:val="0"/>
                <w:sz w:val="18"/>
                <w:szCs w:val="18"/>
              </w:rPr>
            </w:pPr>
            <w:r>
              <w:rPr>
                <w:rFonts w:ascii="Times New Roman" w:hAnsi="Times New Roman" w:eastAsia="宋体"/>
                <w:kern w:val="0"/>
                <w:sz w:val="18"/>
                <w:szCs w:val="18"/>
              </w:rPr>
              <w:t>36.98%</w:t>
            </w:r>
          </w:p>
        </w:tc>
        <w:tc>
          <w:tcPr>
            <w:tcW w:w="1181" w:type="dxa"/>
            <w:vAlign w:val="center"/>
          </w:tcPr>
          <w:p>
            <w:pPr>
              <w:widowControl/>
              <w:spacing w:line="240" w:lineRule="auto"/>
              <w:jc w:val="right"/>
              <w:rPr>
                <w:rFonts w:ascii="Times New Roman" w:hAnsi="Times New Roman" w:eastAsia="宋体"/>
                <w:kern w:val="0"/>
                <w:sz w:val="18"/>
                <w:szCs w:val="18"/>
              </w:rPr>
            </w:pPr>
            <w:r>
              <w:rPr>
                <w:rFonts w:ascii="Times New Roman" w:hAnsi="Times New Roman" w:eastAsia="宋体"/>
                <w:kern w:val="0"/>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jc w:val="center"/>
        </w:trPr>
        <w:tc>
          <w:tcPr>
            <w:tcW w:w="2544" w:type="dxa"/>
            <w:vAlign w:val="center"/>
          </w:tcPr>
          <w:p>
            <w:pPr>
              <w:widowControl/>
              <w:spacing w:line="240" w:lineRule="auto"/>
              <w:jc w:val="left"/>
              <w:rPr>
                <w:rFonts w:ascii="Times New Roman" w:hAnsi="Times New Roman" w:eastAsia="宋体"/>
                <w:kern w:val="0"/>
                <w:sz w:val="18"/>
                <w:szCs w:val="18"/>
              </w:rPr>
            </w:pPr>
            <w:r>
              <w:rPr>
                <w:rFonts w:ascii="Times New Roman" w:hAnsi="Times New Roman" w:eastAsia="宋体"/>
                <w:kern w:val="0"/>
                <w:sz w:val="18"/>
                <w:szCs w:val="18"/>
              </w:rPr>
              <w:t>601166.SH</w:t>
            </w:r>
          </w:p>
        </w:tc>
        <w:tc>
          <w:tcPr>
            <w:tcW w:w="2281" w:type="dxa"/>
            <w:vAlign w:val="center"/>
          </w:tcPr>
          <w:p>
            <w:pPr>
              <w:widowControl/>
              <w:spacing w:line="240" w:lineRule="auto"/>
              <w:jc w:val="left"/>
              <w:rPr>
                <w:rFonts w:ascii="Times New Roman" w:hAnsi="Times New Roman" w:eastAsia="宋体"/>
                <w:kern w:val="0"/>
                <w:sz w:val="18"/>
                <w:szCs w:val="18"/>
              </w:rPr>
            </w:pPr>
            <w:r>
              <w:rPr>
                <w:rFonts w:ascii="Times New Roman" w:hAnsi="宋体" w:eastAsia="宋体"/>
                <w:kern w:val="0"/>
                <w:sz w:val="18"/>
                <w:szCs w:val="18"/>
              </w:rPr>
              <w:t>兴业银行</w:t>
            </w:r>
          </w:p>
        </w:tc>
        <w:tc>
          <w:tcPr>
            <w:tcW w:w="1720" w:type="dxa"/>
            <w:vAlign w:val="center"/>
          </w:tcPr>
          <w:p>
            <w:pPr>
              <w:widowControl/>
              <w:spacing w:line="240" w:lineRule="auto"/>
              <w:jc w:val="right"/>
              <w:rPr>
                <w:rFonts w:ascii="Times New Roman" w:hAnsi="Times New Roman" w:eastAsia="宋体"/>
                <w:kern w:val="0"/>
                <w:sz w:val="18"/>
                <w:szCs w:val="18"/>
              </w:rPr>
            </w:pPr>
            <w:r>
              <w:rPr>
                <w:rFonts w:ascii="Times New Roman" w:hAnsi="Times New Roman" w:eastAsia="宋体"/>
                <w:kern w:val="0"/>
                <w:sz w:val="18"/>
                <w:szCs w:val="18"/>
              </w:rPr>
              <w:t>32.18%</w:t>
            </w:r>
          </w:p>
        </w:tc>
        <w:tc>
          <w:tcPr>
            <w:tcW w:w="1181" w:type="dxa"/>
            <w:vAlign w:val="center"/>
          </w:tcPr>
          <w:p>
            <w:pPr>
              <w:widowControl/>
              <w:spacing w:line="240" w:lineRule="auto"/>
              <w:jc w:val="right"/>
              <w:rPr>
                <w:rFonts w:ascii="Times New Roman" w:hAnsi="Times New Roman" w:eastAsia="宋体"/>
                <w:kern w:val="0"/>
                <w:sz w:val="18"/>
                <w:szCs w:val="18"/>
              </w:rPr>
            </w:pPr>
            <w:r>
              <w:rPr>
                <w:rFonts w:ascii="Times New Roman" w:hAnsi="Times New Roman" w:eastAsia="宋体"/>
                <w:kern w:val="0"/>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jc w:val="center"/>
        </w:trPr>
        <w:tc>
          <w:tcPr>
            <w:tcW w:w="2544" w:type="dxa"/>
            <w:vAlign w:val="center"/>
          </w:tcPr>
          <w:p>
            <w:pPr>
              <w:widowControl/>
              <w:spacing w:line="240" w:lineRule="auto"/>
              <w:jc w:val="left"/>
              <w:rPr>
                <w:rFonts w:ascii="Times New Roman" w:hAnsi="Times New Roman" w:eastAsia="宋体"/>
                <w:kern w:val="0"/>
                <w:sz w:val="18"/>
                <w:szCs w:val="18"/>
              </w:rPr>
            </w:pPr>
            <w:r>
              <w:rPr>
                <w:rFonts w:ascii="Times New Roman" w:hAnsi="Times New Roman" w:eastAsia="宋体"/>
                <w:kern w:val="0"/>
                <w:sz w:val="18"/>
                <w:szCs w:val="18"/>
              </w:rPr>
              <w:t>601169.SH</w:t>
            </w:r>
          </w:p>
        </w:tc>
        <w:tc>
          <w:tcPr>
            <w:tcW w:w="2281" w:type="dxa"/>
            <w:vAlign w:val="center"/>
          </w:tcPr>
          <w:p>
            <w:pPr>
              <w:widowControl/>
              <w:spacing w:line="240" w:lineRule="auto"/>
              <w:jc w:val="left"/>
              <w:rPr>
                <w:rFonts w:ascii="Times New Roman" w:hAnsi="Times New Roman" w:eastAsia="宋体"/>
                <w:kern w:val="0"/>
                <w:sz w:val="18"/>
                <w:szCs w:val="18"/>
              </w:rPr>
            </w:pPr>
            <w:r>
              <w:rPr>
                <w:rFonts w:ascii="Times New Roman" w:hAnsi="宋体" w:eastAsia="宋体"/>
                <w:kern w:val="0"/>
                <w:sz w:val="18"/>
                <w:szCs w:val="18"/>
              </w:rPr>
              <w:t>北京银行</w:t>
            </w:r>
          </w:p>
        </w:tc>
        <w:tc>
          <w:tcPr>
            <w:tcW w:w="1720" w:type="dxa"/>
            <w:vAlign w:val="center"/>
          </w:tcPr>
          <w:p>
            <w:pPr>
              <w:widowControl/>
              <w:spacing w:line="240" w:lineRule="auto"/>
              <w:jc w:val="right"/>
              <w:rPr>
                <w:rFonts w:ascii="Times New Roman" w:hAnsi="Times New Roman" w:eastAsia="宋体"/>
                <w:kern w:val="0"/>
                <w:sz w:val="18"/>
                <w:szCs w:val="18"/>
              </w:rPr>
            </w:pPr>
            <w:r>
              <w:rPr>
                <w:rFonts w:ascii="Times New Roman" w:hAnsi="Times New Roman" w:eastAsia="宋体"/>
                <w:kern w:val="0"/>
                <w:sz w:val="18"/>
                <w:szCs w:val="18"/>
              </w:rPr>
              <w:t>20.19%</w:t>
            </w:r>
          </w:p>
        </w:tc>
        <w:tc>
          <w:tcPr>
            <w:tcW w:w="1181" w:type="dxa"/>
            <w:vAlign w:val="center"/>
          </w:tcPr>
          <w:p>
            <w:pPr>
              <w:widowControl/>
              <w:spacing w:line="240" w:lineRule="auto"/>
              <w:jc w:val="right"/>
              <w:rPr>
                <w:rFonts w:ascii="Times New Roman" w:hAnsi="Times New Roman" w:eastAsia="宋体"/>
                <w:kern w:val="0"/>
                <w:sz w:val="18"/>
                <w:szCs w:val="18"/>
              </w:rPr>
            </w:pPr>
            <w:r>
              <w:rPr>
                <w:rFonts w:ascii="Times New Roman" w:hAnsi="Times New Roman" w:eastAsia="宋体"/>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jc w:val="center"/>
        </w:trPr>
        <w:tc>
          <w:tcPr>
            <w:tcW w:w="2544" w:type="dxa"/>
            <w:vAlign w:val="center"/>
          </w:tcPr>
          <w:p>
            <w:pPr>
              <w:widowControl/>
              <w:spacing w:line="240" w:lineRule="auto"/>
              <w:jc w:val="left"/>
              <w:rPr>
                <w:rFonts w:ascii="Times New Roman" w:hAnsi="Times New Roman" w:eastAsia="宋体"/>
                <w:kern w:val="0"/>
                <w:sz w:val="18"/>
                <w:szCs w:val="18"/>
              </w:rPr>
            </w:pPr>
            <w:r>
              <w:rPr>
                <w:rFonts w:ascii="Times New Roman" w:hAnsi="Times New Roman" w:eastAsia="宋体"/>
                <w:kern w:val="0"/>
                <w:sz w:val="18"/>
                <w:szCs w:val="18"/>
              </w:rPr>
              <w:t>601998.SH</w:t>
            </w:r>
          </w:p>
        </w:tc>
        <w:tc>
          <w:tcPr>
            <w:tcW w:w="2281" w:type="dxa"/>
            <w:vAlign w:val="center"/>
          </w:tcPr>
          <w:p>
            <w:pPr>
              <w:widowControl/>
              <w:spacing w:line="240" w:lineRule="auto"/>
              <w:jc w:val="left"/>
              <w:rPr>
                <w:rFonts w:ascii="Times New Roman" w:hAnsi="Times New Roman" w:eastAsia="宋体"/>
                <w:kern w:val="0"/>
                <w:sz w:val="18"/>
                <w:szCs w:val="18"/>
              </w:rPr>
            </w:pPr>
            <w:r>
              <w:rPr>
                <w:rFonts w:ascii="Times New Roman" w:hAnsi="宋体" w:eastAsia="宋体"/>
                <w:kern w:val="0"/>
                <w:sz w:val="18"/>
                <w:szCs w:val="18"/>
              </w:rPr>
              <w:t>中信银行</w:t>
            </w:r>
          </w:p>
        </w:tc>
        <w:tc>
          <w:tcPr>
            <w:tcW w:w="1720" w:type="dxa"/>
            <w:vAlign w:val="center"/>
          </w:tcPr>
          <w:p>
            <w:pPr>
              <w:widowControl/>
              <w:spacing w:line="240" w:lineRule="auto"/>
              <w:jc w:val="right"/>
              <w:rPr>
                <w:rFonts w:ascii="Times New Roman" w:hAnsi="Times New Roman" w:eastAsia="宋体"/>
                <w:kern w:val="0"/>
                <w:sz w:val="18"/>
                <w:szCs w:val="18"/>
              </w:rPr>
            </w:pPr>
            <w:r>
              <w:rPr>
                <w:rFonts w:ascii="Times New Roman" w:hAnsi="Times New Roman" w:eastAsia="宋体"/>
                <w:kern w:val="0"/>
                <w:sz w:val="18"/>
                <w:szCs w:val="18"/>
              </w:rPr>
              <w:t>26.35%</w:t>
            </w:r>
          </w:p>
        </w:tc>
        <w:tc>
          <w:tcPr>
            <w:tcW w:w="1181" w:type="dxa"/>
            <w:vAlign w:val="center"/>
          </w:tcPr>
          <w:p>
            <w:pPr>
              <w:widowControl/>
              <w:spacing w:line="240" w:lineRule="auto"/>
              <w:jc w:val="right"/>
              <w:rPr>
                <w:rFonts w:ascii="Times New Roman" w:hAnsi="Times New Roman" w:eastAsia="宋体"/>
                <w:kern w:val="0"/>
                <w:sz w:val="18"/>
                <w:szCs w:val="18"/>
              </w:rPr>
            </w:pPr>
            <w:r>
              <w:rPr>
                <w:rFonts w:ascii="Times New Roman" w:hAnsi="Times New Roman" w:eastAsia="宋体"/>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jc w:val="center"/>
        </w:trPr>
        <w:tc>
          <w:tcPr>
            <w:tcW w:w="4825" w:type="dxa"/>
            <w:gridSpan w:val="2"/>
            <w:vAlign w:val="center"/>
          </w:tcPr>
          <w:p>
            <w:pPr>
              <w:widowControl/>
              <w:spacing w:line="240" w:lineRule="auto"/>
              <w:jc w:val="center"/>
              <w:rPr>
                <w:rFonts w:ascii="Times New Roman" w:hAnsi="Times New Roman" w:eastAsia="宋体"/>
                <w:kern w:val="0"/>
                <w:sz w:val="18"/>
                <w:szCs w:val="18"/>
              </w:rPr>
            </w:pPr>
            <w:r>
              <w:rPr>
                <w:rFonts w:ascii="Times New Roman" w:hAnsi="宋体" w:eastAsia="宋体"/>
                <w:kern w:val="0"/>
                <w:sz w:val="18"/>
                <w:szCs w:val="18"/>
              </w:rPr>
              <w:t>合计</w:t>
            </w:r>
          </w:p>
        </w:tc>
        <w:tc>
          <w:tcPr>
            <w:tcW w:w="1720" w:type="dxa"/>
            <w:vAlign w:val="center"/>
          </w:tcPr>
          <w:p>
            <w:pPr>
              <w:widowControl/>
              <w:spacing w:line="240" w:lineRule="auto"/>
              <w:jc w:val="right"/>
              <w:rPr>
                <w:rFonts w:ascii="Times New Roman" w:hAnsi="Times New Roman" w:eastAsia="宋体"/>
                <w:kern w:val="0"/>
                <w:sz w:val="18"/>
                <w:szCs w:val="18"/>
              </w:rPr>
            </w:pPr>
            <w:r>
              <w:rPr>
                <w:rFonts w:ascii="Times New Roman" w:hAnsi="Times New Roman" w:eastAsia="宋体"/>
                <w:kern w:val="0"/>
                <w:sz w:val="18"/>
                <w:szCs w:val="18"/>
              </w:rPr>
              <w:t>31.91%</w:t>
            </w:r>
          </w:p>
        </w:tc>
        <w:tc>
          <w:tcPr>
            <w:tcW w:w="1181" w:type="dxa"/>
            <w:vAlign w:val="center"/>
          </w:tcPr>
          <w:p>
            <w:pPr>
              <w:widowControl/>
              <w:spacing w:line="240" w:lineRule="auto"/>
              <w:jc w:val="right"/>
              <w:rPr>
                <w:rFonts w:ascii="Times New Roman" w:hAnsi="Times New Roman" w:eastAsia="宋体"/>
                <w:kern w:val="0"/>
                <w:sz w:val="18"/>
                <w:szCs w:val="18"/>
              </w:rPr>
            </w:pPr>
            <w:r>
              <w:rPr>
                <w:rFonts w:ascii="Times New Roman" w:hAnsi="Times New Roman" w:eastAsia="宋体"/>
                <w:kern w:val="0"/>
                <w:sz w:val="18"/>
                <w:szCs w:val="18"/>
              </w:rPr>
              <w:t>6</w:t>
            </w:r>
          </w:p>
        </w:tc>
      </w:tr>
    </w:tbl>
    <w:p>
      <w:pPr>
        <w:spacing w:line="360" w:lineRule="auto"/>
        <w:ind w:firstLine="584" w:firstLineChars="200"/>
        <w:rPr>
          <w:rFonts w:ascii="Times New Roman" w:hAnsi="Times New Roman"/>
          <w:kern w:val="0"/>
          <w:sz w:val="28"/>
          <w:szCs w:val="28"/>
        </w:rPr>
      </w:pPr>
    </w:p>
    <w:p>
      <w:pPr>
        <w:spacing w:line="360" w:lineRule="auto"/>
        <w:ind w:firstLine="584" w:firstLineChars="200"/>
        <w:rPr>
          <w:rFonts w:ascii="Times New Roman" w:hAnsi="Times New Roman"/>
          <w:kern w:val="0"/>
          <w:sz w:val="28"/>
          <w:szCs w:val="28"/>
        </w:rPr>
      </w:pPr>
      <w:r>
        <w:rPr>
          <w:rFonts w:hint="eastAsia" w:ascii="Times New Roman" w:hAnsi="Times New Roman"/>
          <w:kern w:val="0"/>
          <w:sz w:val="28"/>
          <w:szCs w:val="28"/>
        </w:rPr>
        <w:t>（2）</w:t>
      </w:r>
      <w:r>
        <w:rPr>
          <w:rFonts w:ascii="Times New Roman" w:hAnsi="Times New Roman"/>
          <w:kern w:val="0"/>
          <w:sz w:val="28"/>
          <w:szCs w:val="28"/>
        </w:rPr>
        <w:t>评估对象贷款分析及预测</w:t>
      </w:r>
    </w:p>
    <w:p>
      <w:pPr>
        <w:spacing w:line="360" w:lineRule="auto"/>
        <w:ind w:firstLine="584" w:firstLineChars="200"/>
        <w:rPr>
          <w:rFonts w:ascii="Times New Roman" w:hAnsi="Times New Roman"/>
          <w:kern w:val="0"/>
          <w:sz w:val="28"/>
          <w:szCs w:val="28"/>
        </w:rPr>
      </w:pPr>
      <w:r>
        <w:rPr>
          <w:rFonts w:hint="eastAsia" w:ascii="Times New Roman" w:hAnsi="Times New Roman"/>
          <w:kern w:val="0"/>
          <w:sz w:val="28"/>
          <w:szCs w:val="28"/>
        </w:rPr>
        <w:t>资产</w:t>
      </w:r>
      <w:r>
        <w:rPr>
          <w:rFonts w:ascii="Times New Roman" w:hAnsi="Times New Roman"/>
          <w:kern w:val="0"/>
          <w:sz w:val="28"/>
          <w:szCs w:val="28"/>
        </w:rPr>
        <w:t>评估师通过尽职调查、访谈和企业提供的盈利预测了解到：企业的贷款平均余额在最近几年中迅速发展，其中企业贷款平均余额在20</w:t>
      </w:r>
      <w:r>
        <w:rPr>
          <w:rFonts w:hint="eastAsia" w:ascii="Times New Roman" w:hAnsi="Times New Roman"/>
          <w:kern w:val="0"/>
          <w:sz w:val="28"/>
          <w:szCs w:val="28"/>
        </w:rPr>
        <w:t>y</w:t>
      </w:r>
      <w:r>
        <w:rPr>
          <w:rFonts w:ascii="Times New Roman" w:hAnsi="Times New Roman"/>
          <w:kern w:val="0"/>
          <w:sz w:val="28"/>
          <w:szCs w:val="28"/>
        </w:rPr>
        <w:t>9年增长率达到45%；零售贷款的发展速度也达到了16%；信用卡贷款的发展速度更是达到了224%，综合平均余额达到了40%。预计20x0年综合平均余额达到27%，20x1年达到23%。而贷款年末余额预计在20x0年xx银行因宏观调控，将比20</w:t>
      </w:r>
      <w:r>
        <w:rPr>
          <w:rFonts w:hint="eastAsia" w:ascii="Times New Roman" w:hAnsi="Times New Roman"/>
          <w:kern w:val="0"/>
          <w:sz w:val="28"/>
          <w:szCs w:val="28"/>
        </w:rPr>
        <w:t>y</w:t>
      </w:r>
      <w:r>
        <w:rPr>
          <w:rFonts w:ascii="Times New Roman" w:hAnsi="Times New Roman"/>
          <w:kern w:val="0"/>
          <w:sz w:val="28"/>
          <w:szCs w:val="28"/>
        </w:rPr>
        <w:t>9年增长22%，而其中超过50%的贷款已在上半年发放。预计20x1年在宏观调控因素下，企业贷款年末余额增长约为30%。</w:t>
      </w:r>
      <w:r>
        <w:rPr>
          <w:rFonts w:hint="eastAsia" w:ascii="Times New Roman" w:hAnsi="Times New Roman"/>
          <w:kern w:val="0"/>
          <w:sz w:val="28"/>
          <w:szCs w:val="28"/>
        </w:rPr>
        <w:t>资产</w:t>
      </w:r>
      <w:r>
        <w:rPr>
          <w:rFonts w:ascii="Times New Roman" w:hAnsi="Times New Roman"/>
          <w:kern w:val="0"/>
          <w:sz w:val="28"/>
          <w:szCs w:val="28"/>
        </w:rPr>
        <w:t>评估师结合企业未来发展规划和同业上市银行的发展速度，预计20</w:t>
      </w:r>
      <w:r>
        <w:rPr>
          <w:rFonts w:hint="eastAsia" w:ascii="Times New Roman" w:hAnsi="Times New Roman"/>
          <w:kern w:val="0"/>
          <w:sz w:val="28"/>
          <w:szCs w:val="28"/>
        </w:rPr>
        <w:t>x</w:t>
      </w:r>
      <w:r>
        <w:rPr>
          <w:rFonts w:ascii="Times New Roman" w:hAnsi="Times New Roman"/>
          <w:kern w:val="0"/>
          <w:sz w:val="28"/>
          <w:szCs w:val="28"/>
        </w:rPr>
        <w:t>1年后贷款增长水平仍维持在较高的水平，但伴随着企业规模的增加和成熟，增长水平逐步降低并稳定。</w:t>
      </w:r>
    </w:p>
    <w:p>
      <w:pPr>
        <w:spacing w:line="360" w:lineRule="auto"/>
        <w:ind w:firstLine="584" w:firstLineChars="200"/>
        <w:rPr>
          <w:rFonts w:ascii="Times New Roman" w:hAnsi="Times New Roman"/>
          <w:sz w:val="28"/>
          <w:szCs w:val="28"/>
          <w:lang w:val="zh-CN"/>
        </w:rPr>
      </w:pPr>
      <w:r>
        <w:rPr>
          <w:rFonts w:ascii="Times New Roman" w:hAnsi="Times New Roman"/>
          <w:kern w:val="0"/>
          <w:sz w:val="28"/>
          <w:szCs w:val="28"/>
        </w:rPr>
        <w:t>而同时从20x0年以来企业加强定价管理已逐步出现效果，对各种不同风险级别的客户逐步具有更高的定价能力，使贷款利率有一定幅度的提高。20x0年上半年贷款利率比20</w:t>
      </w:r>
      <w:r>
        <w:rPr>
          <w:rFonts w:hint="eastAsia" w:ascii="Times New Roman" w:hAnsi="Times New Roman"/>
          <w:kern w:val="0"/>
          <w:sz w:val="28"/>
          <w:szCs w:val="28"/>
        </w:rPr>
        <w:t>y</w:t>
      </w:r>
      <w:r>
        <w:rPr>
          <w:rFonts w:ascii="Times New Roman" w:hAnsi="Times New Roman"/>
          <w:kern w:val="0"/>
          <w:sz w:val="28"/>
          <w:szCs w:val="28"/>
        </w:rPr>
        <w:t>9年上升13个基点，预计20x0年贷款全年平均利率维持20x0年上半年水平，而20x1年考虑到资本充足率的监管要求，企业将对贷款结构作适当调整，预计贷款综合利率将略有下降，预计20x1年全年贷款平均利率较20x0年下降5个基点。具体盈利预测如下</w:t>
      </w:r>
      <w:r>
        <w:rPr>
          <w:rFonts w:ascii="Times New Roman" w:hAnsi="Times New Roman"/>
          <w:sz w:val="28"/>
          <w:szCs w:val="28"/>
          <w:lang w:val="zh-CN"/>
        </w:rPr>
        <w:t>。</w:t>
      </w:r>
    </w:p>
    <w:p>
      <w:pPr>
        <w:spacing w:line="360" w:lineRule="auto"/>
        <w:ind w:firstLine="504" w:firstLineChars="200"/>
        <w:jc w:val="center"/>
        <w:rPr>
          <w:rFonts w:ascii="Times New Roman" w:hAnsi="Times New Roman" w:eastAsia="黑体"/>
          <w:sz w:val="24"/>
          <w:lang w:val="zh-CN"/>
        </w:rPr>
      </w:pPr>
      <w:r>
        <w:rPr>
          <w:rFonts w:ascii="Times New Roman" w:hAnsi="Times New Roman" w:eastAsia="黑体"/>
          <w:sz w:val="24"/>
          <w:lang w:val="zh-CN"/>
        </w:rPr>
        <w:t>贷款平均余额及利息收入预测表</w:t>
      </w:r>
    </w:p>
    <w:p>
      <w:pPr>
        <w:spacing w:line="360" w:lineRule="auto"/>
        <w:ind w:firstLine="444" w:firstLineChars="200"/>
        <w:jc w:val="right"/>
        <w:rPr>
          <w:rFonts w:eastAsia="宋体"/>
          <w:kern w:val="0"/>
          <w:sz w:val="21"/>
          <w:szCs w:val="21"/>
        </w:rPr>
      </w:pPr>
      <w:r>
        <w:rPr>
          <w:rFonts w:eastAsia="宋体"/>
          <w:kern w:val="0"/>
          <w:sz w:val="21"/>
          <w:szCs w:val="21"/>
        </w:rPr>
        <w:t>金额单位：百万元</w:t>
      </w:r>
    </w:p>
    <w:tbl>
      <w:tblPr>
        <w:tblStyle w:val="27"/>
        <w:tblW w:w="91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22"/>
        <w:gridCol w:w="1107"/>
        <w:gridCol w:w="933"/>
        <w:gridCol w:w="933"/>
        <w:gridCol w:w="933"/>
        <w:gridCol w:w="933"/>
        <w:gridCol w:w="933"/>
        <w:gridCol w:w="933"/>
        <w:gridCol w:w="9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152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Times New Roman" w:hAnsi="Times New Roman" w:eastAsia="宋体"/>
                <w:b/>
                <w:spacing w:val="0"/>
                <w:kern w:val="0"/>
                <w:sz w:val="18"/>
                <w:szCs w:val="18"/>
              </w:rPr>
            </w:pPr>
            <w:r>
              <w:rPr>
                <w:rFonts w:ascii="Times New Roman" w:eastAsia="宋体"/>
                <w:b/>
                <w:spacing w:val="0"/>
                <w:kern w:val="0"/>
                <w:sz w:val="18"/>
                <w:szCs w:val="18"/>
              </w:rPr>
              <w:t>项目</w:t>
            </w:r>
          </w:p>
        </w:tc>
        <w:tc>
          <w:tcPr>
            <w:tcW w:w="1107"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Times New Roman" w:hAnsi="Times New Roman" w:eastAsia="宋体"/>
                <w:b/>
                <w:spacing w:val="0"/>
                <w:kern w:val="0"/>
                <w:sz w:val="18"/>
                <w:szCs w:val="18"/>
              </w:rPr>
            </w:pPr>
            <w:r>
              <w:rPr>
                <w:rFonts w:ascii="Times New Roman" w:hAnsi="Times New Roman" w:eastAsia="宋体"/>
                <w:b/>
                <w:spacing w:val="0"/>
                <w:kern w:val="0"/>
                <w:sz w:val="18"/>
                <w:szCs w:val="18"/>
              </w:rPr>
              <w:t>20x0</w:t>
            </w:r>
            <w:r>
              <w:rPr>
                <w:rFonts w:ascii="Times New Roman" w:eastAsia="宋体"/>
                <w:b/>
                <w:spacing w:val="0"/>
                <w:kern w:val="0"/>
                <w:sz w:val="18"/>
                <w:szCs w:val="18"/>
              </w:rPr>
              <w:t>下</w:t>
            </w:r>
          </w:p>
        </w:tc>
        <w:tc>
          <w:tcPr>
            <w:tcW w:w="933"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Times New Roman" w:hAnsi="Times New Roman" w:eastAsia="宋体"/>
                <w:b/>
                <w:spacing w:val="0"/>
                <w:kern w:val="0"/>
                <w:sz w:val="18"/>
                <w:szCs w:val="18"/>
              </w:rPr>
            </w:pPr>
            <w:r>
              <w:rPr>
                <w:rFonts w:ascii="Times New Roman" w:hAnsi="Times New Roman" w:eastAsia="宋体"/>
                <w:b/>
                <w:spacing w:val="0"/>
                <w:kern w:val="0"/>
                <w:sz w:val="18"/>
                <w:szCs w:val="18"/>
              </w:rPr>
              <w:t>20x1</w:t>
            </w:r>
          </w:p>
        </w:tc>
        <w:tc>
          <w:tcPr>
            <w:tcW w:w="933"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Times New Roman" w:hAnsi="Times New Roman" w:eastAsia="宋体"/>
                <w:b/>
                <w:spacing w:val="0"/>
                <w:kern w:val="0"/>
                <w:sz w:val="18"/>
                <w:szCs w:val="18"/>
              </w:rPr>
            </w:pPr>
            <w:r>
              <w:rPr>
                <w:rFonts w:ascii="Times New Roman" w:hAnsi="Times New Roman" w:eastAsia="宋体"/>
                <w:b/>
                <w:spacing w:val="0"/>
                <w:kern w:val="0"/>
                <w:sz w:val="18"/>
                <w:szCs w:val="18"/>
              </w:rPr>
              <w:t>20x2</w:t>
            </w:r>
          </w:p>
        </w:tc>
        <w:tc>
          <w:tcPr>
            <w:tcW w:w="933"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Times New Roman" w:hAnsi="Times New Roman" w:eastAsia="宋体"/>
                <w:b/>
                <w:spacing w:val="0"/>
                <w:kern w:val="0"/>
                <w:sz w:val="18"/>
                <w:szCs w:val="18"/>
              </w:rPr>
            </w:pPr>
            <w:r>
              <w:rPr>
                <w:rFonts w:ascii="Times New Roman" w:hAnsi="Times New Roman" w:eastAsia="宋体"/>
                <w:b/>
                <w:spacing w:val="0"/>
                <w:kern w:val="0"/>
                <w:sz w:val="18"/>
                <w:szCs w:val="18"/>
              </w:rPr>
              <w:t>20x3</w:t>
            </w:r>
          </w:p>
        </w:tc>
        <w:tc>
          <w:tcPr>
            <w:tcW w:w="933"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Times New Roman" w:hAnsi="Times New Roman" w:eastAsia="宋体"/>
                <w:b/>
                <w:spacing w:val="0"/>
                <w:kern w:val="0"/>
                <w:sz w:val="18"/>
                <w:szCs w:val="18"/>
              </w:rPr>
            </w:pPr>
            <w:r>
              <w:rPr>
                <w:rFonts w:ascii="Times New Roman" w:hAnsi="Times New Roman" w:eastAsia="宋体"/>
                <w:b/>
                <w:spacing w:val="0"/>
                <w:kern w:val="0"/>
                <w:sz w:val="18"/>
                <w:szCs w:val="18"/>
              </w:rPr>
              <w:t>20x4</w:t>
            </w:r>
          </w:p>
        </w:tc>
        <w:tc>
          <w:tcPr>
            <w:tcW w:w="933"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Times New Roman" w:hAnsi="Times New Roman" w:eastAsia="宋体"/>
                <w:b/>
                <w:spacing w:val="0"/>
                <w:kern w:val="0"/>
                <w:sz w:val="18"/>
                <w:szCs w:val="18"/>
              </w:rPr>
            </w:pPr>
            <w:r>
              <w:rPr>
                <w:rFonts w:ascii="Times New Roman" w:hAnsi="Times New Roman" w:eastAsia="宋体"/>
                <w:b/>
                <w:spacing w:val="0"/>
                <w:kern w:val="0"/>
                <w:sz w:val="18"/>
                <w:szCs w:val="18"/>
              </w:rPr>
              <w:t>20x5</w:t>
            </w:r>
          </w:p>
        </w:tc>
        <w:tc>
          <w:tcPr>
            <w:tcW w:w="933"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Times New Roman" w:hAnsi="Times New Roman" w:eastAsia="宋体"/>
                <w:b/>
                <w:spacing w:val="0"/>
                <w:kern w:val="0"/>
                <w:sz w:val="18"/>
                <w:szCs w:val="18"/>
              </w:rPr>
            </w:pPr>
            <w:r>
              <w:rPr>
                <w:rFonts w:ascii="Times New Roman" w:hAnsi="Times New Roman" w:eastAsia="宋体"/>
                <w:b/>
                <w:spacing w:val="0"/>
                <w:kern w:val="0"/>
                <w:sz w:val="18"/>
                <w:szCs w:val="18"/>
              </w:rPr>
              <w:t>20x6</w:t>
            </w:r>
          </w:p>
        </w:tc>
        <w:tc>
          <w:tcPr>
            <w:tcW w:w="935"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Times New Roman" w:hAnsi="Times New Roman" w:eastAsia="宋体"/>
                <w:b/>
                <w:spacing w:val="0"/>
                <w:kern w:val="0"/>
                <w:sz w:val="18"/>
                <w:szCs w:val="18"/>
              </w:rPr>
            </w:pPr>
            <w:r>
              <w:rPr>
                <w:rFonts w:ascii="Times New Roman" w:hAnsi="Times New Roman" w:eastAsia="宋体"/>
                <w:b/>
                <w:spacing w:val="0"/>
                <w:kern w:val="0"/>
                <w:sz w:val="18"/>
                <w:szCs w:val="18"/>
              </w:rPr>
              <w:t>20x7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1522" w:type="dxa"/>
            <w:tcBorders>
              <w:top w:val="nil"/>
              <w:left w:val="single" w:color="auto" w:sz="4" w:space="0"/>
              <w:bottom w:val="single" w:color="auto" w:sz="4" w:space="0"/>
              <w:right w:val="single" w:color="auto" w:sz="4" w:space="0"/>
            </w:tcBorders>
            <w:vAlign w:val="center"/>
          </w:tcPr>
          <w:p>
            <w:pPr>
              <w:widowControl/>
              <w:spacing w:line="240" w:lineRule="auto"/>
              <w:jc w:val="center"/>
              <w:rPr>
                <w:rFonts w:ascii="Times New Roman" w:hAnsi="Times New Roman" w:eastAsia="宋体"/>
                <w:spacing w:val="0"/>
                <w:kern w:val="0"/>
                <w:sz w:val="18"/>
                <w:szCs w:val="18"/>
              </w:rPr>
            </w:pPr>
            <w:r>
              <w:rPr>
                <w:rFonts w:ascii="Times New Roman" w:eastAsia="宋体"/>
                <w:spacing w:val="0"/>
                <w:kern w:val="0"/>
                <w:sz w:val="18"/>
                <w:szCs w:val="18"/>
              </w:rPr>
              <w:t>贷款平均余额</w:t>
            </w:r>
          </w:p>
        </w:tc>
        <w:tc>
          <w:tcPr>
            <w:tcW w:w="1107"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128,867</w:t>
            </w:r>
          </w:p>
        </w:tc>
        <w:tc>
          <w:tcPr>
            <w:tcW w:w="933"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151,082</w:t>
            </w:r>
          </w:p>
        </w:tc>
        <w:tc>
          <w:tcPr>
            <w:tcW w:w="933"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178,898</w:t>
            </w:r>
          </w:p>
        </w:tc>
        <w:tc>
          <w:tcPr>
            <w:tcW w:w="933"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209,872</w:t>
            </w:r>
          </w:p>
        </w:tc>
        <w:tc>
          <w:tcPr>
            <w:tcW w:w="933"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240,962</w:t>
            </w:r>
          </w:p>
        </w:tc>
        <w:tc>
          <w:tcPr>
            <w:tcW w:w="933"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273,577</w:t>
            </w:r>
          </w:p>
        </w:tc>
        <w:tc>
          <w:tcPr>
            <w:tcW w:w="933"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304,993</w:t>
            </w:r>
          </w:p>
        </w:tc>
        <w:tc>
          <w:tcPr>
            <w:tcW w:w="935"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334,768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1522" w:type="dxa"/>
            <w:tcBorders>
              <w:top w:val="nil"/>
              <w:left w:val="single" w:color="auto" w:sz="4" w:space="0"/>
              <w:bottom w:val="single" w:color="auto" w:sz="4" w:space="0"/>
              <w:right w:val="single" w:color="auto" w:sz="4" w:space="0"/>
            </w:tcBorders>
            <w:vAlign w:val="center"/>
          </w:tcPr>
          <w:p>
            <w:pPr>
              <w:widowControl/>
              <w:spacing w:line="240" w:lineRule="auto"/>
              <w:jc w:val="center"/>
              <w:rPr>
                <w:rFonts w:ascii="Times New Roman" w:hAnsi="Times New Roman" w:eastAsia="宋体"/>
                <w:spacing w:val="0"/>
                <w:kern w:val="0"/>
                <w:sz w:val="18"/>
                <w:szCs w:val="18"/>
              </w:rPr>
            </w:pPr>
            <w:r>
              <w:rPr>
                <w:rFonts w:ascii="Times New Roman" w:eastAsia="宋体"/>
                <w:spacing w:val="0"/>
                <w:kern w:val="0"/>
                <w:sz w:val="18"/>
                <w:szCs w:val="18"/>
              </w:rPr>
              <w:t>贷款利息收入</w:t>
            </w:r>
          </w:p>
        </w:tc>
        <w:tc>
          <w:tcPr>
            <w:tcW w:w="1107"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3,336</w:t>
            </w:r>
          </w:p>
        </w:tc>
        <w:tc>
          <w:tcPr>
            <w:tcW w:w="933"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7,755</w:t>
            </w:r>
          </w:p>
        </w:tc>
        <w:tc>
          <w:tcPr>
            <w:tcW w:w="933"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9,183</w:t>
            </w:r>
          </w:p>
        </w:tc>
        <w:tc>
          <w:tcPr>
            <w:tcW w:w="933"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10,773</w:t>
            </w:r>
          </w:p>
        </w:tc>
        <w:tc>
          <w:tcPr>
            <w:tcW w:w="933"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12,369</w:t>
            </w:r>
          </w:p>
        </w:tc>
        <w:tc>
          <w:tcPr>
            <w:tcW w:w="933"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14,043</w:t>
            </w:r>
          </w:p>
        </w:tc>
        <w:tc>
          <w:tcPr>
            <w:tcW w:w="933"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15,655</w:t>
            </w:r>
          </w:p>
        </w:tc>
        <w:tc>
          <w:tcPr>
            <w:tcW w:w="935"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17,184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1522" w:type="dxa"/>
            <w:tcBorders>
              <w:top w:val="nil"/>
              <w:left w:val="single" w:color="auto" w:sz="4" w:space="0"/>
              <w:bottom w:val="single" w:color="auto" w:sz="4" w:space="0"/>
              <w:right w:val="single" w:color="auto" w:sz="4" w:space="0"/>
            </w:tcBorders>
            <w:vAlign w:val="center"/>
          </w:tcPr>
          <w:p>
            <w:pPr>
              <w:widowControl/>
              <w:spacing w:line="240" w:lineRule="auto"/>
              <w:jc w:val="center"/>
              <w:rPr>
                <w:rFonts w:ascii="Times New Roman" w:hAnsi="Times New Roman" w:eastAsia="宋体"/>
                <w:spacing w:val="0"/>
                <w:kern w:val="0"/>
                <w:sz w:val="18"/>
                <w:szCs w:val="18"/>
              </w:rPr>
            </w:pPr>
            <w:r>
              <w:rPr>
                <w:rFonts w:ascii="Times New Roman" w:eastAsia="宋体"/>
                <w:spacing w:val="0"/>
                <w:kern w:val="0"/>
                <w:sz w:val="18"/>
                <w:szCs w:val="18"/>
              </w:rPr>
              <w:t>平均利率</w:t>
            </w:r>
            <w:r>
              <w:rPr>
                <w:rFonts w:ascii="Times New Roman" w:hAnsi="Times New Roman" w:eastAsia="宋体"/>
                <w:spacing w:val="0"/>
                <w:kern w:val="0"/>
                <w:sz w:val="18"/>
                <w:szCs w:val="18"/>
              </w:rPr>
              <w:t>(%)</w:t>
            </w:r>
          </w:p>
        </w:tc>
        <w:tc>
          <w:tcPr>
            <w:tcW w:w="1107"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2.59</w:t>
            </w:r>
          </w:p>
        </w:tc>
        <w:tc>
          <w:tcPr>
            <w:tcW w:w="933"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5.13</w:t>
            </w:r>
          </w:p>
        </w:tc>
        <w:tc>
          <w:tcPr>
            <w:tcW w:w="933"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5.13</w:t>
            </w:r>
          </w:p>
        </w:tc>
        <w:tc>
          <w:tcPr>
            <w:tcW w:w="933"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5.13</w:t>
            </w:r>
          </w:p>
        </w:tc>
        <w:tc>
          <w:tcPr>
            <w:tcW w:w="933"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5.13</w:t>
            </w:r>
          </w:p>
        </w:tc>
        <w:tc>
          <w:tcPr>
            <w:tcW w:w="933"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5.13</w:t>
            </w:r>
          </w:p>
        </w:tc>
        <w:tc>
          <w:tcPr>
            <w:tcW w:w="933"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5.13</w:t>
            </w:r>
          </w:p>
        </w:tc>
        <w:tc>
          <w:tcPr>
            <w:tcW w:w="935"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5.13</w:t>
            </w:r>
          </w:p>
        </w:tc>
      </w:tr>
    </w:tbl>
    <w:p>
      <w:pPr>
        <w:spacing w:line="360" w:lineRule="auto"/>
        <w:rPr>
          <w:rFonts w:ascii="Times New Roman" w:hAnsi="Times New Roman"/>
          <w:spacing w:val="-1"/>
          <w:sz w:val="32"/>
          <w:szCs w:val="32"/>
          <w:lang w:val="zh-TW"/>
        </w:rPr>
      </w:pPr>
    </w:p>
    <w:p>
      <w:pPr>
        <w:spacing w:line="360" w:lineRule="auto"/>
        <w:ind w:firstLine="584" w:firstLineChars="200"/>
        <w:rPr>
          <w:rFonts w:ascii="Times New Roman" w:hAnsi="Times New Roman"/>
          <w:sz w:val="28"/>
          <w:szCs w:val="28"/>
        </w:rPr>
      </w:pPr>
      <w:r>
        <w:rPr>
          <w:rFonts w:hint="eastAsia" w:ascii="Times New Roman" w:hAnsi="Times New Roman"/>
          <w:sz w:val="28"/>
          <w:szCs w:val="28"/>
        </w:rPr>
        <w:t>2．</w:t>
      </w:r>
      <w:r>
        <w:rPr>
          <w:rFonts w:ascii="Times New Roman" w:hAnsi="Times New Roman"/>
          <w:sz w:val="28"/>
          <w:szCs w:val="28"/>
        </w:rPr>
        <w:t>手续费及佣金收入预测</w:t>
      </w:r>
    </w:p>
    <w:p>
      <w:pPr>
        <w:spacing w:line="360" w:lineRule="auto"/>
        <w:ind w:firstLine="584" w:firstLineChars="200"/>
        <w:rPr>
          <w:rFonts w:ascii="Times New Roman" w:hAnsi="Times New Roman"/>
          <w:kern w:val="0"/>
          <w:sz w:val="28"/>
          <w:szCs w:val="28"/>
        </w:rPr>
      </w:pPr>
      <w:r>
        <w:rPr>
          <w:rFonts w:ascii="Times New Roman" w:hAnsi="Times New Roman"/>
          <w:kern w:val="0"/>
          <w:sz w:val="28"/>
          <w:szCs w:val="28"/>
        </w:rPr>
        <w:t>xx银行的手续费及佣金收入主要为结算和清算手续费收入、代理业务手续费收入、银行卡手续费收入、托管及其他受托业务收入及其他业务收入。</w:t>
      </w:r>
    </w:p>
    <w:p>
      <w:pPr>
        <w:spacing w:line="360" w:lineRule="auto"/>
        <w:ind w:firstLine="584" w:firstLineChars="200"/>
        <w:rPr>
          <w:rFonts w:ascii="Times New Roman" w:hAnsi="Times New Roman"/>
          <w:kern w:val="0"/>
          <w:sz w:val="28"/>
          <w:szCs w:val="28"/>
        </w:rPr>
      </w:pPr>
      <w:r>
        <w:rPr>
          <w:rFonts w:ascii="Times New Roman" w:hAnsi="Times New Roman"/>
          <w:kern w:val="0"/>
          <w:sz w:val="28"/>
          <w:szCs w:val="28"/>
        </w:rPr>
        <w:t>我国上市银行手续费及佣金净收入的增长速度很快，10家上市银行复合增长速度达到了57.18%，</w:t>
      </w:r>
      <w:r>
        <w:rPr>
          <w:rFonts w:hint="eastAsia" w:ascii="Times New Roman" w:hAnsi="Times New Roman"/>
          <w:kern w:val="0"/>
          <w:sz w:val="28"/>
          <w:szCs w:val="28"/>
        </w:rPr>
        <w:t>资产</w:t>
      </w:r>
      <w:r>
        <w:rPr>
          <w:rFonts w:ascii="Times New Roman" w:hAnsi="Times New Roman"/>
          <w:kern w:val="0"/>
          <w:sz w:val="28"/>
          <w:szCs w:val="28"/>
        </w:rPr>
        <w:t>评估师对xx银行的手续费及佣金收入的预测一方面考虑</w:t>
      </w:r>
      <w:r>
        <w:rPr>
          <w:rFonts w:hint="eastAsia" w:ascii="Times New Roman" w:hAnsi="Times New Roman"/>
          <w:kern w:val="0"/>
          <w:sz w:val="28"/>
          <w:szCs w:val="28"/>
        </w:rPr>
        <w:t>xx</w:t>
      </w:r>
      <w:r>
        <w:rPr>
          <w:rFonts w:ascii="Times New Roman" w:hAnsi="Times New Roman"/>
          <w:kern w:val="0"/>
          <w:sz w:val="28"/>
          <w:szCs w:val="28"/>
        </w:rPr>
        <w:t>银行自身的因素，另一方面也受此因素的影响。</w:t>
      </w:r>
    </w:p>
    <w:p>
      <w:pPr>
        <w:spacing w:line="360" w:lineRule="auto"/>
        <w:ind w:firstLine="584" w:firstLineChars="200"/>
        <w:rPr>
          <w:rFonts w:ascii="Times New Roman" w:hAnsi="Times New Roman"/>
          <w:kern w:val="0"/>
          <w:sz w:val="28"/>
          <w:szCs w:val="28"/>
        </w:rPr>
      </w:pPr>
      <w:r>
        <w:rPr>
          <w:rFonts w:hint="eastAsia" w:ascii="Times New Roman" w:hAnsi="Times New Roman"/>
          <w:kern w:val="0"/>
          <w:sz w:val="28"/>
          <w:szCs w:val="28"/>
        </w:rPr>
        <w:t>（1）</w:t>
      </w:r>
      <w:r>
        <w:rPr>
          <w:rFonts w:ascii="Times New Roman" w:hAnsi="Times New Roman"/>
          <w:kern w:val="0"/>
          <w:sz w:val="28"/>
          <w:szCs w:val="28"/>
        </w:rPr>
        <w:t>同行业商业银行手续费及佣金净收入复合增长速度表</w:t>
      </w:r>
    </w:p>
    <w:tbl>
      <w:tblPr>
        <w:tblStyle w:val="27"/>
        <w:tblW w:w="79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0"/>
        <w:gridCol w:w="2107"/>
        <w:gridCol w:w="2403"/>
        <w:gridCol w:w="1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2350" w:type="dxa"/>
            <w:vAlign w:val="center"/>
          </w:tcPr>
          <w:p>
            <w:pPr>
              <w:widowControl/>
              <w:spacing w:line="240" w:lineRule="auto"/>
              <w:jc w:val="center"/>
              <w:rPr>
                <w:rFonts w:ascii="Times New Roman" w:hAnsi="Times New Roman" w:eastAsia="宋体"/>
                <w:b/>
                <w:bCs/>
                <w:kern w:val="0"/>
                <w:sz w:val="18"/>
                <w:szCs w:val="18"/>
              </w:rPr>
            </w:pPr>
            <w:r>
              <w:rPr>
                <w:rFonts w:ascii="Times New Roman" w:hAnsi="Times New Roman" w:eastAsia="宋体"/>
                <w:b/>
                <w:bCs/>
                <w:kern w:val="0"/>
                <w:sz w:val="18"/>
                <w:szCs w:val="18"/>
              </w:rPr>
              <w:t>证券代码</w:t>
            </w:r>
          </w:p>
        </w:tc>
        <w:tc>
          <w:tcPr>
            <w:tcW w:w="2107" w:type="dxa"/>
            <w:vAlign w:val="center"/>
          </w:tcPr>
          <w:p>
            <w:pPr>
              <w:widowControl/>
              <w:spacing w:line="240" w:lineRule="auto"/>
              <w:jc w:val="center"/>
              <w:rPr>
                <w:rFonts w:ascii="Times New Roman" w:hAnsi="Times New Roman" w:eastAsia="宋体"/>
                <w:b/>
                <w:bCs/>
                <w:kern w:val="0"/>
                <w:sz w:val="18"/>
                <w:szCs w:val="18"/>
              </w:rPr>
            </w:pPr>
            <w:r>
              <w:rPr>
                <w:rFonts w:ascii="Times New Roman" w:hAnsi="Times New Roman" w:eastAsia="宋体"/>
                <w:b/>
                <w:bCs/>
                <w:kern w:val="0"/>
                <w:sz w:val="18"/>
                <w:szCs w:val="18"/>
              </w:rPr>
              <w:t>证券简称</w:t>
            </w:r>
          </w:p>
        </w:tc>
        <w:tc>
          <w:tcPr>
            <w:tcW w:w="2403" w:type="dxa"/>
            <w:vAlign w:val="center"/>
          </w:tcPr>
          <w:p>
            <w:pPr>
              <w:widowControl/>
              <w:spacing w:line="240" w:lineRule="auto"/>
              <w:jc w:val="center"/>
              <w:rPr>
                <w:rFonts w:ascii="Times New Roman" w:hAnsi="Times New Roman" w:eastAsia="宋体"/>
                <w:b/>
                <w:bCs/>
                <w:kern w:val="0"/>
                <w:sz w:val="18"/>
                <w:szCs w:val="18"/>
              </w:rPr>
            </w:pPr>
            <w:r>
              <w:rPr>
                <w:rFonts w:ascii="Times New Roman" w:hAnsi="Times New Roman" w:eastAsia="宋体"/>
                <w:b/>
                <w:bCs/>
                <w:kern w:val="0"/>
                <w:sz w:val="18"/>
                <w:szCs w:val="18"/>
              </w:rPr>
              <w:t>手续费及佣金净收入</w:t>
            </w:r>
          </w:p>
        </w:tc>
        <w:tc>
          <w:tcPr>
            <w:tcW w:w="1092" w:type="dxa"/>
            <w:vAlign w:val="center"/>
          </w:tcPr>
          <w:p>
            <w:pPr>
              <w:widowControl/>
              <w:spacing w:line="240" w:lineRule="auto"/>
              <w:jc w:val="center"/>
              <w:rPr>
                <w:rFonts w:ascii="Times New Roman" w:hAnsi="Times New Roman" w:eastAsia="宋体"/>
                <w:b/>
                <w:bCs/>
                <w:kern w:val="0"/>
                <w:sz w:val="18"/>
                <w:szCs w:val="18"/>
              </w:rPr>
            </w:pPr>
            <w:r>
              <w:rPr>
                <w:rFonts w:ascii="Times New Roman" w:hAnsi="Times New Roman" w:eastAsia="宋体"/>
                <w:b/>
                <w:bCs/>
                <w:kern w:val="0"/>
                <w:sz w:val="18"/>
                <w:szCs w:val="18"/>
              </w:rPr>
              <w:t>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jc w:val="center"/>
        </w:trPr>
        <w:tc>
          <w:tcPr>
            <w:tcW w:w="2350" w:type="dxa"/>
            <w:vAlign w:val="center"/>
          </w:tcPr>
          <w:p>
            <w:pPr>
              <w:widowControl/>
              <w:spacing w:line="240" w:lineRule="auto"/>
              <w:jc w:val="center"/>
              <w:rPr>
                <w:rFonts w:ascii="Times New Roman" w:hAnsi="Times New Roman" w:eastAsia="宋体"/>
                <w:kern w:val="0"/>
                <w:sz w:val="18"/>
                <w:szCs w:val="18"/>
              </w:rPr>
            </w:pPr>
            <w:r>
              <w:rPr>
                <w:rFonts w:ascii="Times New Roman" w:hAnsi="Times New Roman" w:eastAsia="宋体"/>
                <w:kern w:val="0"/>
                <w:sz w:val="18"/>
                <w:szCs w:val="18"/>
              </w:rPr>
              <w:t>000001.SZ</w:t>
            </w:r>
          </w:p>
        </w:tc>
        <w:tc>
          <w:tcPr>
            <w:tcW w:w="2107" w:type="dxa"/>
            <w:vAlign w:val="center"/>
          </w:tcPr>
          <w:p>
            <w:pPr>
              <w:widowControl/>
              <w:spacing w:line="240" w:lineRule="auto"/>
              <w:jc w:val="center"/>
              <w:rPr>
                <w:rFonts w:ascii="Times New Roman" w:hAnsi="Times New Roman" w:eastAsia="宋体"/>
                <w:kern w:val="0"/>
                <w:sz w:val="18"/>
                <w:szCs w:val="18"/>
              </w:rPr>
            </w:pPr>
            <w:r>
              <w:rPr>
                <w:rFonts w:ascii="Times New Roman" w:hAnsi="Times New Roman" w:eastAsia="宋体"/>
                <w:kern w:val="0"/>
                <w:sz w:val="18"/>
                <w:szCs w:val="18"/>
              </w:rPr>
              <w:t>深发展A</w:t>
            </w:r>
          </w:p>
        </w:tc>
        <w:tc>
          <w:tcPr>
            <w:tcW w:w="2403" w:type="dxa"/>
            <w:vAlign w:val="center"/>
          </w:tcPr>
          <w:p>
            <w:pPr>
              <w:widowControl/>
              <w:spacing w:line="240" w:lineRule="auto"/>
              <w:jc w:val="right"/>
              <w:rPr>
                <w:rFonts w:ascii="Times New Roman" w:hAnsi="Times New Roman" w:eastAsia="宋体"/>
                <w:kern w:val="0"/>
                <w:sz w:val="18"/>
                <w:szCs w:val="18"/>
              </w:rPr>
            </w:pPr>
            <w:r>
              <w:rPr>
                <w:rFonts w:ascii="Times New Roman" w:hAnsi="Times New Roman" w:eastAsia="宋体"/>
                <w:kern w:val="0"/>
                <w:sz w:val="18"/>
                <w:szCs w:val="18"/>
              </w:rPr>
              <w:t>52.77%</w:t>
            </w:r>
          </w:p>
        </w:tc>
        <w:tc>
          <w:tcPr>
            <w:tcW w:w="1092" w:type="dxa"/>
            <w:vAlign w:val="center"/>
          </w:tcPr>
          <w:p>
            <w:pPr>
              <w:widowControl/>
              <w:spacing w:line="240" w:lineRule="auto"/>
              <w:jc w:val="right"/>
              <w:rPr>
                <w:rFonts w:ascii="Times New Roman" w:hAnsi="Times New Roman" w:eastAsia="宋体"/>
                <w:kern w:val="0"/>
                <w:sz w:val="18"/>
                <w:szCs w:val="18"/>
              </w:rPr>
            </w:pPr>
            <w:r>
              <w:rPr>
                <w:rFonts w:ascii="Times New Roman" w:hAnsi="Times New Roman" w:eastAsia="宋体"/>
                <w:kern w:val="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jc w:val="center"/>
        </w:trPr>
        <w:tc>
          <w:tcPr>
            <w:tcW w:w="2350" w:type="dxa"/>
            <w:vAlign w:val="center"/>
          </w:tcPr>
          <w:p>
            <w:pPr>
              <w:widowControl/>
              <w:spacing w:line="240" w:lineRule="auto"/>
              <w:jc w:val="center"/>
              <w:rPr>
                <w:rFonts w:ascii="Times New Roman" w:hAnsi="Times New Roman" w:eastAsia="宋体"/>
                <w:kern w:val="0"/>
                <w:sz w:val="18"/>
                <w:szCs w:val="18"/>
              </w:rPr>
            </w:pPr>
            <w:r>
              <w:rPr>
                <w:rFonts w:ascii="Times New Roman" w:hAnsi="Times New Roman" w:eastAsia="宋体"/>
                <w:kern w:val="0"/>
                <w:sz w:val="18"/>
                <w:szCs w:val="18"/>
              </w:rPr>
              <w:t>002142.SZ</w:t>
            </w:r>
          </w:p>
        </w:tc>
        <w:tc>
          <w:tcPr>
            <w:tcW w:w="2107" w:type="dxa"/>
            <w:vAlign w:val="center"/>
          </w:tcPr>
          <w:p>
            <w:pPr>
              <w:widowControl/>
              <w:spacing w:line="240" w:lineRule="auto"/>
              <w:jc w:val="center"/>
              <w:rPr>
                <w:rFonts w:ascii="Times New Roman" w:hAnsi="Times New Roman" w:eastAsia="宋体"/>
                <w:kern w:val="0"/>
                <w:sz w:val="18"/>
                <w:szCs w:val="18"/>
              </w:rPr>
            </w:pPr>
            <w:r>
              <w:rPr>
                <w:rFonts w:ascii="Times New Roman" w:hAnsi="Times New Roman" w:eastAsia="宋体"/>
                <w:kern w:val="0"/>
                <w:sz w:val="18"/>
                <w:szCs w:val="18"/>
              </w:rPr>
              <w:t>宁波银行</w:t>
            </w:r>
          </w:p>
        </w:tc>
        <w:tc>
          <w:tcPr>
            <w:tcW w:w="2403" w:type="dxa"/>
            <w:vAlign w:val="center"/>
          </w:tcPr>
          <w:p>
            <w:pPr>
              <w:widowControl/>
              <w:spacing w:line="240" w:lineRule="auto"/>
              <w:jc w:val="right"/>
              <w:rPr>
                <w:rFonts w:ascii="Times New Roman" w:hAnsi="Times New Roman" w:eastAsia="宋体"/>
                <w:kern w:val="0"/>
                <w:sz w:val="18"/>
                <w:szCs w:val="18"/>
              </w:rPr>
            </w:pPr>
            <w:r>
              <w:rPr>
                <w:rFonts w:ascii="Times New Roman" w:hAnsi="Times New Roman" w:eastAsia="宋体"/>
                <w:kern w:val="0"/>
                <w:sz w:val="18"/>
                <w:szCs w:val="18"/>
              </w:rPr>
              <w:t>51.53%</w:t>
            </w:r>
          </w:p>
        </w:tc>
        <w:tc>
          <w:tcPr>
            <w:tcW w:w="1092" w:type="dxa"/>
            <w:vAlign w:val="center"/>
          </w:tcPr>
          <w:p>
            <w:pPr>
              <w:widowControl/>
              <w:spacing w:line="240" w:lineRule="auto"/>
              <w:jc w:val="right"/>
              <w:rPr>
                <w:rFonts w:ascii="Times New Roman" w:hAnsi="Times New Roman" w:eastAsia="宋体"/>
                <w:kern w:val="0"/>
                <w:sz w:val="18"/>
                <w:szCs w:val="18"/>
              </w:rPr>
            </w:pPr>
            <w:r>
              <w:rPr>
                <w:rFonts w:ascii="Times New Roman" w:hAnsi="Times New Roman" w:eastAsia="宋体"/>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jc w:val="center"/>
        </w:trPr>
        <w:tc>
          <w:tcPr>
            <w:tcW w:w="2350" w:type="dxa"/>
            <w:vAlign w:val="center"/>
          </w:tcPr>
          <w:p>
            <w:pPr>
              <w:widowControl/>
              <w:spacing w:line="240" w:lineRule="auto"/>
              <w:jc w:val="center"/>
              <w:rPr>
                <w:rFonts w:ascii="Times New Roman" w:hAnsi="Times New Roman" w:eastAsia="宋体"/>
                <w:kern w:val="0"/>
                <w:sz w:val="18"/>
                <w:szCs w:val="18"/>
              </w:rPr>
            </w:pPr>
            <w:r>
              <w:rPr>
                <w:rFonts w:ascii="Times New Roman" w:hAnsi="Times New Roman" w:eastAsia="宋体"/>
                <w:kern w:val="0"/>
                <w:sz w:val="18"/>
                <w:szCs w:val="18"/>
              </w:rPr>
              <w:t>600000.SH</w:t>
            </w:r>
          </w:p>
        </w:tc>
        <w:tc>
          <w:tcPr>
            <w:tcW w:w="2107" w:type="dxa"/>
            <w:vAlign w:val="center"/>
          </w:tcPr>
          <w:p>
            <w:pPr>
              <w:widowControl/>
              <w:spacing w:line="240" w:lineRule="auto"/>
              <w:jc w:val="center"/>
              <w:rPr>
                <w:rFonts w:ascii="Times New Roman" w:hAnsi="Times New Roman" w:eastAsia="宋体"/>
                <w:kern w:val="0"/>
                <w:sz w:val="18"/>
                <w:szCs w:val="18"/>
              </w:rPr>
            </w:pPr>
            <w:r>
              <w:rPr>
                <w:rFonts w:ascii="Times New Roman" w:hAnsi="Times New Roman" w:eastAsia="宋体"/>
                <w:kern w:val="0"/>
                <w:sz w:val="18"/>
                <w:szCs w:val="18"/>
              </w:rPr>
              <w:t>浦发银行</w:t>
            </w:r>
          </w:p>
        </w:tc>
        <w:tc>
          <w:tcPr>
            <w:tcW w:w="2403" w:type="dxa"/>
            <w:vAlign w:val="center"/>
          </w:tcPr>
          <w:p>
            <w:pPr>
              <w:widowControl/>
              <w:spacing w:line="240" w:lineRule="auto"/>
              <w:jc w:val="right"/>
              <w:rPr>
                <w:rFonts w:ascii="Times New Roman" w:hAnsi="Times New Roman" w:eastAsia="宋体"/>
                <w:kern w:val="0"/>
                <w:sz w:val="18"/>
                <w:szCs w:val="18"/>
              </w:rPr>
            </w:pPr>
            <w:r>
              <w:rPr>
                <w:rFonts w:ascii="Times New Roman" w:hAnsi="Times New Roman" w:eastAsia="宋体"/>
                <w:kern w:val="0"/>
                <w:sz w:val="18"/>
                <w:szCs w:val="18"/>
              </w:rPr>
              <w:t>47.43%</w:t>
            </w:r>
          </w:p>
        </w:tc>
        <w:tc>
          <w:tcPr>
            <w:tcW w:w="1092" w:type="dxa"/>
            <w:vAlign w:val="center"/>
          </w:tcPr>
          <w:p>
            <w:pPr>
              <w:widowControl/>
              <w:spacing w:line="240" w:lineRule="auto"/>
              <w:jc w:val="right"/>
              <w:rPr>
                <w:rFonts w:ascii="Times New Roman" w:hAnsi="Times New Roman" w:eastAsia="宋体"/>
                <w:kern w:val="0"/>
                <w:sz w:val="18"/>
                <w:szCs w:val="18"/>
              </w:rPr>
            </w:pPr>
            <w:r>
              <w:rPr>
                <w:rFonts w:ascii="Times New Roman" w:hAnsi="Times New Roman" w:eastAsia="宋体"/>
                <w:kern w:val="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jc w:val="center"/>
        </w:trPr>
        <w:tc>
          <w:tcPr>
            <w:tcW w:w="2350" w:type="dxa"/>
            <w:vAlign w:val="center"/>
          </w:tcPr>
          <w:p>
            <w:pPr>
              <w:widowControl/>
              <w:spacing w:line="240" w:lineRule="auto"/>
              <w:jc w:val="center"/>
              <w:rPr>
                <w:rFonts w:ascii="Times New Roman" w:hAnsi="Times New Roman" w:eastAsia="宋体"/>
                <w:kern w:val="0"/>
                <w:sz w:val="18"/>
                <w:szCs w:val="18"/>
              </w:rPr>
            </w:pPr>
            <w:r>
              <w:rPr>
                <w:rFonts w:ascii="Times New Roman" w:hAnsi="Times New Roman" w:eastAsia="宋体"/>
                <w:kern w:val="0"/>
                <w:sz w:val="18"/>
                <w:szCs w:val="18"/>
              </w:rPr>
              <w:t>600015.SH</w:t>
            </w:r>
          </w:p>
        </w:tc>
        <w:tc>
          <w:tcPr>
            <w:tcW w:w="2107" w:type="dxa"/>
            <w:vAlign w:val="center"/>
          </w:tcPr>
          <w:p>
            <w:pPr>
              <w:widowControl/>
              <w:spacing w:line="240" w:lineRule="auto"/>
              <w:jc w:val="center"/>
              <w:rPr>
                <w:rFonts w:ascii="Times New Roman" w:hAnsi="Times New Roman" w:eastAsia="宋体"/>
                <w:kern w:val="0"/>
                <w:sz w:val="18"/>
                <w:szCs w:val="18"/>
              </w:rPr>
            </w:pPr>
            <w:r>
              <w:rPr>
                <w:rFonts w:ascii="Times New Roman" w:hAnsi="Times New Roman" w:eastAsia="宋体"/>
                <w:kern w:val="0"/>
                <w:sz w:val="18"/>
                <w:szCs w:val="18"/>
              </w:rPr>
              <w:t>华夏银行</w:t>
            </w:r>
          </w:p>
        </w:tc>
        <w:tc>
          <w:tcPr>
            <w:tcW w:w="2403" w:type="dxa"/>
            <w:vAlign w:val="center"/>
          </w:tcPr>
          <w:p>
            <w:pPr>
              <w:widowControl/>
              <w:spacing w:line="240" w:lineRule="auto"/>
              <w:jc w:val="right"/>
              <w:rPr>
                <w:rFonts w:ascii="Times New Roman" w:hAnsi="Times New Roman" w:eastAsia="宋体"/>
                <w:kern w:val="0"/>
                <w:sz w:val="18"/>
                <w:szCs w:val="18"/>
              </w:rPr>
            </w:pPr>
            <w:r>
              <w:rPr>
                <w:rFonts w:ascii="Times New Roman" w:hAnsi="Times New Roman" w:eastAsia="宋体"/>
                <w:kern w:val="0"/>
                <w:sz w:val="18"/>
                <w:szCs w:val="18"/>
              </w:rPr>
              <w:t>36.27%</w:t>
            </w:r>
          </w:p>
        </w:tc>
        <w:tc>
          <w:tcPr>
            <w:tcW w:w="1092" w:type="dxa"/>
            <w:vAlign w:val="center"/>
          </w:tcPr>
          <w:p>
            <w:pPr>
              <w:widowControl/>
              <w:spacing w:line="240" w:lineRule="auto"/>
              <w:jc w:val="right"/>
              <w:rPr>
                <w:rFonts w:ascii="Times New Roman" w:hAnsi="Times New Roman" w:eastAsia="宋体"/>
                <w:kern w:val="0"/>
                <w:sz w:val="18"/>
                <w:szCs w:val="18"/>
              </w:rPr>
            </w:pPr>
            <w:r>
              <w:rPr>
                <w:rFonts w:ascii="Times New Roman" w:hAnsi="Times New Roman" w:eastAsia="宋体"/>
                <w:kern w:val="0"/>
                <w:sz w:val="18"/>
                <w:szCs w:val="1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jc w:val="center"/>
        </w:trPr>
        <w:tc>
          <w:tcPr>
            <w:tcW w:w="2350" w:type="dxa"/>
            <w:vAlign w:val="center"/>
          </w:tcPr>
          <w:p>
            <w:pPr>
              <w:widowControl/>
              <w:spacing w:line="240" w:lineRule="auto"/>
              <w:jc w:val="center"/>
              <w:rPr>
                <w:rFonts w:ascii="Times New Roman" w:hAnsi="Times New Roman" w:eastAsia="宋体"/>
                <w:kern w:val="0"/>
                <w:sz w:val="18"/>
                <w:szCs w:val="18"/>
              </w:rPr>
            </w:pPr>
            <w:r>
              <w:rPr>
                <w:rFonts w:ascii="Times New Roman" w:hAnsi="Times New Roman" w:eastAsia="宋体"/>
                <w:kern w:val="0"/>
                <w:sz w:val="18"/>
                <w:szCs w:val="18"/>
              </w:rPr>
              <w:t>600016.SH</w:t>
            </w:r>
          </w:p>
        </w:tc>
        <w:tc>
          <w:tcPr>
            <w:tcW w:w="2107" w:type="dxa"/>
            <w:vAlign w:val="center"/>
          </w:tcPr>
          <w:p>
            <w:pPr>
              <w:widowControl/>
              <w:spacing w:line="240" w:lineRule="auto"/>
              <w:jc w:val="center"/>
              <w:rPr>
                <w:rFonts w:ascii="Times New Roman" w:hAnsi="Times New Roman" w:eastAsia="宋体"/>
                <w:kern w:val="0"/>
                <w:sz w:val="18"/>
                <w:szCs w:val="18"/>
              </w:rPr>
            </w:pPr>
            <w:r>
              <w:rPr>
                <w:rFonts w:ascii="Times New Roman" w:hAnsi="Times New Roman" w:eastAsia="宋体"/>
                <w:kern w:val="0"/>
                <w:sz w:val="18"/>
                <w:szCs w:val="18"/>
              </w:rPr>
              <w:t>民生银行</w:t>
            </w:r>
          </w:p>
        </w:tc>
        <w:tc>
          <w:tcPr>
            <w:tcW w:w="2403" w:type="dxa"/>
            <w:vAlign w:val="center"/>
          </w:tcPr>
          <w:p>
            <w:pPr>
              <w:widowControl/>
              <w:spacing w:line="240" w:lineRule="auto"/>
              <w:jc w:val="right"/>
              <w:rPr>
                <w:rFonts w:ascii="Times New Roman" w:hAnsi="Times New Roman" w:eastAsia="宋体"/>
                <w:kern w:val="0"/>
                <w:sz w:val="18"/>
                <w:szCs w:val="18"/>
              </w:rPr>
            </w:pPr>
            <w:r>
              <w:rPr>
                <w:rFonts w:ascii="Times New Roman" w:hAnsi="Times New Roman" w:eastAsia="宋体"/>
                <w:kern w:val="0"/>
                <w:sz w:val="18"/>
                <w:szCs w:val="18"/>
              </w:rPr>
              <w:t>81.40%</w:t>
            </w:r>
          </w:p>
        </w:tc>
        <w:tc>
          <w:tcPr>
            <w:tcW w:w="1092" w:type="dxa"/>
            <w:vAlign w:val="center"/>
          </w:tcPr>
          <w:p>
            <w:pPr>
              <w:widowControl/>
              <w:spacing w:line="240" w:lineRule="auto"/>
              <w:jc w:val="right"/>
              <w:rPr>
                <w:rFonts w:ascii="Times New Roman" w:hAnsi="Times New Roman" w:eastAsia="宋体"/>
                <w:kern w:val="0"/>
                <w:sz w:val="18"/>
                <w:szCs w:val="18"/>
              </w:rPr>
            </w:pPr>
            <w:r>
              <w:rPr>
                <w:rFonts w:ascii="Times New Roman" w:hAnsi="Times New Roman" w:eastAsia="宋体"/>
                <w:kern w:val="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jc w:val="center"/>
        </w:trPr>
        <w:tc>
          <w:tcPr>
            <w:tcW w:w="2350" w:type="dxa"/>
            <w:vAlign w:val="center"/>
          </w:tcPr>
          <w:p>
            <w:pPr>
              <w:widowControl/>
              <w:spacing w:line="240" w:lineRule="auto"/>
              <w:jc w:val="center"/>
              <w:rPr>
                <w:rFonts w:ascii="Times New Roman" w:hAnsi="Times New Roman" w:eastAsia="宋体"/>
                <w:kern w:val="0"/>
                <w:sz w:val="18"/>
                <w:szCs w:val="18"/>
              </w:rPr>
            </w:pPr>
            <w:r>
              <w:rPr>
                <w:rFonts w:ascii="Times New Roman" w:hAnsi="Times New Roman" w:eastAsia="宋体"/>
                <w:kern w:val="0"/>
                <w:sz w:val="18"/>
                <w:szCs w:val="18"/>
              </w:rPr>
              <w:t>600036.SH</w:t>
            </w:r>
          </w:p>
        </w:tc>
        <w:tc>
          <w:tcPr>
            <w:tcW w:w="2107" w:type="dxa"/>
            <w:vAlign w:val="center"/>
          </w:tcPr>
          <w:p>
            <w:pPr>
              <w:widowControl/>
              <w:spacing w:line="240" w:lineRule="auto"/>
              <w:jc w:val="center"/>
              <w:rPr>
                <w:rFonts w:ascii="Times New Roman" w:hAnsi="Times New Roman" w:eastAsia="宋体"/>
                <w:kern w:val="0"/>
                <w:sz w:val="18"/>
                <w:szCs w:val="18"/>
              </w:rPr>
            </w:pPr>
            <w:r>
              <w:rPr>
                <w:rFonts w:ascii="Times New Roman" w:hAnsi="Times New Roman" w:eastAsia="宋体"/>
                <w:kern w:val="0"/>
                <w:sz w:val="18"/>
                <w:szCs w:val="18"/>
              </w:rPr>
              <w:t>招商银行</w:t>
            </w:r>
          </w:p>
        </w:tc>
        <w:tc>
          <w:tcPr>
            <w:tcW w:w="2403" w:type="dxa"/>
            <w:vAlign w:val="center"/>
          </w:tcPr>
          <w:p>
            <w:pPr>
              <w:widowControl/>
              <w:spacing w:line="240" w:lineRule="auto"/>
              <w:jc w:val="right"/>
              <w:rPr>
                <w:rFonts w:ascii="Times New Roman" w:hAnsi="Times New Roman" w:eastAsia="宋体"/>
                <w:kern w:val="0"/>
                <w:sz w:val="18"/>
                <w:szCs w:val="18"/>
              </w:rPr>
            </w:pPr>
            <w:r>
              <w:rPr>
                <w:rFonts w:ascii="Times New Roman" w:hAnsi="Times New Roman" w:eastAsia="宋体"/>
                <w:kern w:val="0"/>
                <w:sz w:val="18"/>
                <w:szCs w:val="18"/>
              </w:rPr>
              <w:t>49.31%</w:t>
            </w:r>
          </w:p>
        </w:tc>
        <w:tc>
          <w:tcPr>
            <w:tcW w:w="1092" w:type="dxa"/>
            <w:vAlign w:val="center"/>
          </w:tcPr>
          <w:p>
            <w:pPr>
              <w:widowControl/>
              <w:spacing w:line="240" w:lineRule="auto"/>
              <w:jc w:val="right"/>
              <w:rPr>
                <w:rFonts w:ascii="Times New Roman" w:hAnsi="Times New Roman" w:eastAsia="宋体"/>
                <w:kern w:val="0"/>
                <w:sz w:val="18"/>
                <w:szCs w:val="18"/>
              </w:rPr>
            </w:pPr>
            <w:r>
              <w:rPr>
                <w:rFonts w:ascii="Times New Roman" w:hAnsi="Times New Roman" w:eastAsia="宋体"/>
                <w:kern w:val="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jc w:val="center"/>
        </w:trPr>
        <w:tc>
          <w:tcPr>
            <w:tcW w:w="2350" w:type="dxa"/>
            <w:vAlign w:val="center"/>
          </w:tcPr>
          <w:p>
            <w:pPr>
              <w:widowControl/>
              <w:spacing w:line="240" w:lineRule="auto"/>
              <w:jc w:val="center"/>
              <w:rPr>
                <w:rFonts w:ascii="Times New Roman" w:hAnsi="Times New Roman" w:eastAsia="宋体"/>
                <w:kern w:val="0"/>
                <w:sz w:val="18"/>
                <w:szCs w:val="18"/>
              </w:rPr>
            </w:pPr>
            <w:r>
              <w:rPr>
                <w:rFonts w:ascii="Times New Roman" w:hAnsi="Times New Roman" w:eastAsia="宋体"/>
                <w:kern w:val="0"/>
                <w:sz w:val="18"/>
                <w:szCs w:val="18"/>
              </w:rPr>
              <w:t>601009.SH</w:t>
            </w:r>
          </w:p>
        </w:tc>
        <w:tc>
          <w:tcPr>
            <w:tcW w:w="2107" w:type="dxa"/>
            <w:vAlign w:val="center"/>
          </w:tcPr>
          <w:p>
            <w:pPr>
              <w:widowControl/>
              <w:spacing w:line="240" w:lineRule="auto"/>
              <w:jc w:val="center"/>
              <w:rPr>
                <w:rFonts w:ascii="Times New Roman" w:hAnsi="Times New Roman" w:eastAsia="宋体"/>
                <w:kern w:val="0"/>
                <w:sz w:val="18"/>
                <w:szCs w:val="18"/>
              </w:rPr>
            </w:pPr>
            <w:r>
              <w:rPr>
                <w:rFonts w:ascii="Times New Roman" w:hAnsi="Times New Roman" w:eastAsia="宋体"/>
                <w:kern w:val="0"/>
                <w:sz w:val="18"/>
                <w:szCs w:val="18"/>
              </w:rPr>
              <w:t>南京银行</w:t>
            </w:r>
          </w:p>
        </w:tc>
        <w:tc>
          <w:tcPr>
            <w:tcW w:w="2403" w:type="dxa"/>
            <w:vAlign w:val="center"/>
          </w:tcPr>
          <w:p>
            <w:pPr>
              <w:widowControl/>
              <w:spacing w:line="240" w:lineRule="auto"/>
              <w:jc w:val="right"/>
              <w:rPr>
                <w:rFonts w:ascii="Times New Roman" w:hAnsi="Times New Roman" w:eastAsia="宋体"/>
                <w:kern w:val="0"/>
                <w:sz w:val="18"/>
                <w:szCs w:val="18"/>
              </w:rPr>
            </w:pPr>
            <w:r>
              <w:rPr>
                <w:rFonts w:ascii="Times New Roman" w:hAnsi="Times New Roman" w:eastAsia="宋体"/>
                <w:kern w:val="0"/>
                <w:sz w:val="18"/>
                <w:szCs w:val="18"/>
              </w:rPr>
              <w:t>53.93%</w:t>
            </w:r>
          </w:p>
        </w:tc>
        <w:tc>
          <w:tcPr>
            <w:tcW w:w="1092" w:type="dxa"/>
            <w:vAlign w:val="center"/>
          </w:tcPr>
          <w:p>
            <w:pPr>
              <w:widowControl/>
              <w:spacing w:line="240" w:lineRule="auto"/>
              <w:jc w:val="right"/>
              <w:rPr>
                <w:rFonts w:ascii="Times New Roman" w:hAnsi="Times New Roman" w:eastAsia="宋体"/>
                <w:kern w:val="0"/>
                <w:sz w:val="18"/>
                <w:szCs w:val="18"/>
              </w:rPr>
            </w:pPr>
            <w:r>
              <w:rPr>
                <w:rFonts w:ascii="Times New Roman" w:hAnsi="Times New Roman" w:eastAsia="宋体"/>
                <w:kern w:val="0"/>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jc w:val="center"/>
        </w:trPr>
        <w:tc>
          <w:tcPr>
            <w:tcW w:w="2350" w:type="dxa"/>
            <w:vAlign w:val="center"/>
          </w:tcPr>
          <w:p>
            <w:pPr>
              <w:widowControl/>
              <w:spacing w:line="240" w:lineRule="auto"/>
              <w:jc w:val="center"/>
              <w:rPr>
                <w:rFonts w:ascii="Times New Roman" w:hAnsi="Times New Roman" w:eastAsia="宋体"/>
                <w:kern w:val="0"/>
                <w:sz w:val="18"/>
                <w:szCs w:val="18"/>
              </w:rPr>
            </w:pPr>
            <w:r>
              <w:rPr>
                <w:rFonts w:ascii="Times New Roman" w:hAnsi="Times New Roman" w:eastAsia="宋体"/>
                <w:kern w:val="0"/>
                <w:sz w:val="18"/>
                <w:szCs w:val="18"/>
              </w:rPr>
              <w:t>601166.SH</w:t>
            </w:r>
          </w:p>
        </w:tc>
        <w:tc>
          <w:tcPr>
            <w:tcW w:w="2107" w:type="dxa"/>
            <w:vAlign w:val="center"/>
          </w:tcPr>
          <w:p>
            <w:pPr>
              <w:widowControl/>
              <w:spacing w:line="240" w:lineRule="auto"/>
              <w:jc w:val="center"/>
              <w:rPr>
                <w:rFonts w:ascii="Times New Roman" w:hAnsi="Times New Roman" w:eastAsia="宋体"/>
                <w:kern w:val="0"/>
                <w:sz w:val="18"/>
                <w:szCs w:val="18"/>
              </w:rPr>
            </w:pPr>
            <w:r>
              <w:rPr>
                <w:rFonts w:ascii="Times New Roman" w:hAnsi="Times New Roman" w:eastAsia="宋体"/>
                <w:kern w:val="0"/>
                <w:sz w:val="18"/>
                <w:szCs w:val="18"/>
              </w:rPr>
              <w:t>兴业银行</w:t>
            </w:r>
          </w:p>
        </w:tc>
        <w:tc>
          <w:tcPr>
            <w:tcW w:w="2403" w:type="dxa"/>
            <w:vAlign w:val="center"/>
          </w:tcPr>
          <w:p>
            <w:pPr>
              <w:widowControl/>
              <w:spacing w:line="240" w:lineRule="auto"/>
              <w:jc w:val="right"/>
              <w:rPr>
                <w:rFonts w:ascii="Times New Roman" w:hAnsi="Times New Roman" w:eastAsia="宋体"/>
                <w:kern w:val="0"/>
                <w:sz w:val="18"/>
                <w:szCs w:val="18"/>
              </w:rPr>
            </w:pPr>
            <w:r>
              <w:rPr>
                <w:rFonts w:ascii="Times New Roman" w:hAnsi="Times New Roman" w:eastAsia="宋体"/>
                <w:kern w:val="0"/>
                <w:sz w:val="18"/>
                <w:szCs w:val="18"/>
              </w:rPr>
              <w:t>71.26%</w:t>
            </w:r>
          </w:p>
        </w:tc>
        <w:tc>
          <w:tcPr>
            <w:tcW w:w="1092" w:type="dxa"/>
            <w:vAlign w:val="center"/>
          </w:tcPr>
          <w:p>
            <w:pPr>
              <w:widowControl/>
              <w:spacing w:line="240" w:lineRule="auto"/>
              <w:jc w:val="right"/>
              <w:rPr>
                <w:rFonts w:ascii="Times New Roman" w:hAnsi="Times New Roman" w:eastAsia="宋体"/>
                <w:kern w:val="0"/>
                <w:sz w:val="18"/>
                <w:szCs w:val="18"/>
              </w:rPr>
            </w:pPr>
            <w:r>
              <w:rPr>
                <w:rFonts w:ascii="Times New Roman" w:hAnsi="Times New Roman" w:eastAsia="宋体"/>
                <w:kern w:val="0"/>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jc w:val="center"/>
        </w:trPr>
        <w:tc>
          <w:tcPr>
            <w:tcW w:w="2350" w:type="dxa"/>
            <w:vAlign w:val="center"/>
          </w:tcPr>
          <w:p>
            <w:pPr>
              <w:widowControl/>
              <w:spacing w:line="240" w:lineRule="auto"/>
              <w:jc w:val="center"/>
              <w:rPr>
                <w:rFonts w:ascii="Times New Roman" w:hAnsi="Times New Roman" w:eastAsia="宋体"/>
                <w:kern w:val="0"/>
                <w:sz w:val="18"/>
                <w:szCs w:val="18"/>
              </w:rPr>
            </w:pPr>
            <w:r>
              <w:rPr>
                <w:rFonts w:ascii="Times New Roman" w:hAnsi="Times New Roman" w:eastAsia="宋体"/>
                <w:kern w:val="0"/>
                <w:sz w:val="18"/>
                <w:szCs w:val="18"/>
              </w:rPr>
              <w:t>601169.SH</w:t>
            </w:r>
          </w:p>
        </w:tc>
        <w:tc>
          <w:tcPr>
            <w:tcW w:w="2107" w:type="dxa"/>
            <w:vAlign w:val="center"/>
          </w:tcPr>
          <w:p>
            <w:pPr>
              <w:widowControl/>
              <w:spacing w:line="240" w:lineRule="auto"/>
              <w:jc w:val="center"/>
              <w:rPr>
                <w:rFonts w:ascii="Times New Roman" w:hAnsi="Times New Roman" w:eastAsia="宋体"/>
                <w:kern w:val="0"/>
                <w:sz w:val="18"/>
                <w:szCs w:val="18"/>
              </w:rPr>
            </w:pPr>
            <w:r>
              <w:rPr>
                <w:rFonts w:ascii="Times New Roman" w:hAnsi="Times New Roman" w:eastAsia="宋体"/>
                <w:kern w:val="0"/>
                <w:sz w:val="18"/>
                <w:szCs w:val="18"/>
              </w:rPr>
              <w:t>北京银行</w:t>
            </w:r>
          </w:p>
        </w:tc>
        <w:tc>
          <w:tcPr>
            <w:tcW w:w="2403" w:type="dxa"/>
            <w:vAlign w:val="center"/>
          </w:tcPr>
          <w:p>
            <w:pPr>
              <w:widowControl/>
              <w:spacing w:line="240" w:lineRule="auto"/>
              <w:jc w:val="right"/>
              <w:rPr>
                <w:rFonts w:ascii="Times New Roman" w:hAnsi="Times New Roman" w:eastAsia="宋体"/>
                <w:kern w:val="0"/>
                <w:sz w:val="18"/>
                <w:szCs w:val="18"/>
              </w:rPr>
            </w:pPr>
            <w:r>
              <w:rPr>
                <w:rFonts w:ascii="Times New Roman" w:hAnsi="Times New Roman" w:eastAsia="宋体"/>
                <w:kern w:val="0"/>
                <w:sz w:val="18"/>
                <w:szCs w:val="18"/>
              </w:rPr>
              <w:t>68.44%</w:t>
            </w:r>
          </w:p>
        </w:tc>
        <w:tc>
          <w:tcPr>
            <w:tcW w:w="1092" w:type="dxa"/>
            <w:vAlign w:val="center"/>
          </w:tcPr>
          <w:p>
            <w:pPr>
              <w:widowControl/>
              <w:spacing w:line="240" w:lineRule="auto"/>
              <w:jc w:val="right"/>
              <w:rPr>
                <w:rFonts w:ascii="Times New Roman" w:hAnsi="Times New Roman" w:eastAsia="宋体"/>
                <w:kern w:val="0"/>
                <w:sz w:val="18"/>
                <w:szCs w:val="18"/>
              </w:rPr>
            </w:pPr>
            <w:r>
              <w:rPr>
                <w:rFonts w:ascii="Times New Roman" w:hAnsi="Times New Roman" w:eastAsia="宋体"/>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jc w:val="center"/>
        </w:trPr>
        <w:tc>
          <w:tcPr>
            <w:tcW w:w="2350" w:type="dxa"/>
            <w:vAlign w:val="center"/>
          </w:tcPr>
          <w:p>
            <w:pPr>
              <w:widowControl/>
              <w:spacing w:line="240" w:lineRule="auto"/>
              <w:ind w:right="636"/>
              <w:jc w:val="right"/>
              <w:rPr>
                <w:rFonts w:ascii="Times New Roman" w:hAnsi="Times New Roman" w:eastAsia="宋体"/>
                <w:kern w:val="0"/>
                <w:sz w:val="18"/>
                <w:szCs w:val="18"/>
              </w:rPr>
            </w:pPr>
            <w:r>
              <w:rPr>
                <w:rFonts w:ascii="Times New Roman" w:hAnsi="Times New Roman" w:eastAsia="宋体"/>
                <w:kern w:val="0"/>
                <w:sz w:val="18"/>
                <w:szCs w:val="18"/>
              </w:rPr>
              <w:t>601998.SH</w:t>
            </w:r>
          </w:p>
        </w:tc>
        <w:tc>
          <w:tcPr>
            <w:tcW w:w="2107" w:type="dxa"/>
            <w:vAlign w:val="center"/>
          </w:tcPr>
          <w:p>
            <w:pPr>
              <w:widowControl/>
              <w:spacing w:line="240" w:lineRule="auto"/>
              <w:jc w:val="center"/>
              <w:rPr>
                <w:rFonts w:ascii="Times New Roman" w:hAnsi="Times New Roman" w:eastAsia="宋体"/>
                <w:kern w:val="0"/>
                <w:sz w:val="18"/>
                <w:szCs w:val="18"/>
              </w:rPr>
            </w:pPr>
            <w:r>
              <w:rPr>
                <w:rFonts w:ascii="Times New Roman" w:hAnsi="Times New Roman" w:eastAsia="宋体"/>
                <w:kern w:val="0"/>
                <w:sz w:val="18"/>
                <w:szCs w:val="18"/>
              </w:rPr>
              <w:t>中信银行</w:t>
            </w:r>
          </w:p>
        </w:tc>
        <w:tc>
          <w:tcPr>
            <w:tcW w:w="2403" w:type="dxa"/>
            <w:vAlign w:val="center"/>
          </w:tcPr>
          <w:p>
            <w:pPr>
              <w:widowControl/>
              <w:spacing w:line="240" w:lineRule="auto"/>
              <w:jc w:val="right"/>
              <w:rPr>
                <w:rFonts w:ascii="Times New Roman" w:hAnsi="Times New Roman" w:eastAsia="宋体"/>
                <w:kern w:val="0"/>
                <w:sz w:val="18"/>
                <w:szCs w:val="18"/>
              </w:rPr>
            </w:pPr>
            <w:r>
              <w:rPr>
                <w:rFonts w:ascii="Times New Roman" w:hAnsi="Times New Roman" w:eastAsia="宋体"/>
                <w:kern w:val="0"/>
                <w:sz w:val="18"/>
                <w:szCs w:val="18"/>
              </w:rPr>
              <w:t>59.44%</w:t>
            </w:r>
          </w:p>
        </w:tc>
        <w:tc>
          <w:tcPr>
            <w:tcW w:w="1092" w:type="dxa"/>
            <w:vAlign w:val="center"/>
          </w:tcPr>
          <w:p>
            <w:pPr>
              <w:widowControl/>
              <w:spacing w:line="240" w:lineRule="auto"/>
              <w:jc w:val="right"/>
              <w:rPr>
                <w:rFonts w:ascii="Times New Roman" w:hAnsi="Times New Roman" w:eastAsia="宋体"/>
                <w:kern w:val="0"/>
                <w:sz w:val="18"/>
                <w:szCs w:val="18"/>
              </w:rPr>
            </w:pPr>
            <w:r>
              <w:rPr>
                <w:rFonts w:ascii="Times New Roman" w:hAnsi="Times New Roman" w:eastAsia="宋体"/>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jc w:val="center"/>
        </w:trPr>
        <w:tc>
          <w:tcPr>
            <w:tcW w:w="4457" w:type="dxa"/>
            <w:gridSpan w:val="2"/>
            <w:vAlign w:val="center"/>
          </w:tcPr>
          <w:p>
            <w:pPr>
              <w:widowControl/>
              <w:spacing w:line="240" w:lineRule="auto"/>
              <w:jc w:val="center"/>
              <w:rPr>
                <w:rFonts w:ascii="Times New Roman" w:hAnsi="Times New Roman" w:eastAsia="宋体"/>
                <w:kern w:val="0"/>
                <w:sz w:val="18"/>
                <w:szCs w:val="18"/>
              </w:rPr>
            </w:pPr>
            <w:r>
              <w:rPr>
                <w:rFonts w:ascii="Times New Roman" w:hAnsi="Times New Roman" w:eastAsia="宋体"/>
                <w:kern w:val="0"/>
                <w:sz w:val="18"/>
                <w:szCs w:val="18"/>
              </w:rPr>
              <w:t>合计</w:t>
            </w:r>
          </w:p>
        </w:tc>
        <w:tc>
          <w:tcPr>
            <w:tcW w:w="2403" w:type="dxa"/>
            <w:vAlign w:val="center"/>
          </w:tcPr>
          <w:p>
            <w:pPr>
              <w:widowControl/>
              <w:spacing w:line="240" w:lineRule="auto"/>
              <w:jc w:val="right"/>
              <w:rPr>
                <w:rFonts w:ascii="Times New Roman" w:hAnsi="Times New Roman" w:eastAsia="宋体"/>
                <w:kern w:val="0"/>
                <w:sz w:val="18"/>
                <w:szCs w:val="18"/>
              </w:rPr>
            </w:pPr>
            <w:r>
              <w:rPr>
                <w:rFonts w:ascii="Times New Roman" w:hAnsi="Times New Roman" w:eastAsia="宋体"/>
                <w:kern w:val="0"/>
                <w:sz w:val="18"/>
                <w:szCs w:val="18"/>
              </w:rPr>
              <w:t>57.18%</w:t>
            </w:r>
          </w:p>
        </w:tc>
        <w:tc>
          <w:tcPr>
            <w:tcW w:w="1092" w:type="dxa"/>
            <w:vAlign w:val="center"/>
          </w:tcPr>
          <w:p>
            <w:pPr>
              <w:widowControl/>
              <w:spacing w:line="240" w:lineRule="auto"/>
              <w:jc w:val="right"/>
              <w:rPr>
                <w:rFonts w:ascii="Times New Roman" w:hAnsi="Times New Roman" w:eastAsia="宋体"/>
                <w:kern w:val="0"/>
                <w:sz w:val="18"/>
                <w:szCs w:val="18"/>
              </w:rPr>
            </w:pPr>
            <w:r>
              <w:rPr>
                <w:rFonts w:ascii="Times New Roman" w:hAnsi="Times New Roman" w:eastAsia="宋体"/>
                <w:kern w:val="0"/>
                <w:sz w:val="18"/>
                <w:szCs w:val="18"/>
              </w:rPr>
              <w:t>6</w:t>
            </w:r>
          </w:p>
        </w:tc>
      </w:tr>
    </w:tbl>
    <w:p>
      <w:pPr>
        <w:spacing w:line="360" w:lineRule="auto"/>
        <w:ind w:firstLine="584" w:firstLineChars="200"/>
        <w:rPr>
          <w:rFonts w:ascii="Times New Roman" w:hAnsi="Times New Roman"/>
          <w:kern w:val="0"/>
          <w:sz w:val="28"/>
          <w:szCs w:val="28"/>
        </w:rPr>
      </w:pPr>
    </w:p>
    <w:p>
      <w:pPr>
        <w:spacing w:line="360" w:lineRule="auto"/>
        <w:ind w:firstLine="584" w:firstLineChars="200"/>
        <w:rPr>
          <w:rFonts w:ascii="Times New Roman" w:hAnsi="Times New Roman"/>
          <w:kern w:val="0"/>
          <w:sz w:val="28"/>
          <w:szCs w:val="28"/>
        </w:rPr>
      </w:pPr>
      <w:r>
        <w:rPr>
          <w:rFonts w:hint="eastAsia" w:ascii="Times New Roman" w:hAnsi="Times New Roman"/>
          <w:kern w:val="0"/>
          <w:sz w:val="28"/>
          <w:szCs w:val="28"/>
        </w:rPr>
        <w:t>（2）</w:t>
      </w:r>
      <w:r>
        <w:rPr>
          <w:rFonts w:ascii="Times New Roman" w:hAnsi="Times New Roman"/>
          <w:kern w:val="0"/>
          <w:sz w:val="28"/>
          <w:szCs w:val="28"/>
        </w:rPr>
        <w:t>评估对象手续费收入分析及预测</w:t>
      </w:r>
    </w:p>
    <w:p>
      <w:pPr>
        <w:spacing w:line="360" w:lineRule="auto"/>
        <w:ind w:firstLine="584" w:firstLineChars="200"/>
        <w:rPr>
          <w:rFonts w:ascii="Times New Roman" w:hAnsi="Times New Roman"/>
          <w:kern w:val="0"/>
          <w:sz w:val="28"/>
          <w:szCs w:val="28"/>
        </w:rPr>
      </w:pPr>
      <w:r>
        <w:rPr>
          <w:rFonts w:ascii="Times New Roman" w:hAnsi="Times New Roman"/>
          <w:kern w:val="0"/>
          <w:sz w:val="28"/>
          <w:szCs w:val="28"/>
        </w:rPr>
        <w:t>1）结算手续费收入</w:t>
      </w:r>
    </w:p>
    <w:p>
      <w:pPr>
        <w:spacing w:line="360" w:lineRule="auto"/>
        <w:ind w:firstLine="584" w:firstLineChars="200"/>
        <w:rPr>
          <w:rFonts w:ascii="Times New Roman" w:hAnsi="Times New Roman"/>
          <w:kern w:val="0"/>
          <w:sz w:val="28"/>
          <w:szCs w:val="28"/>
        </w:rPr>
      </w:pPr>
      <w:r>
        <w:rPr>
          <w:rFonts w:ascii="Times New Roman" w:hAnsi="Times New Roman"/>
          <w:kern w:val="0"/>
          <w:sz w:val="28"/>
          <w:szCs w:val="28"/>
        </w:rPr>
        <w:t>结算手续费收入主要来源于外汇业务，20</w:t>
      </w:r>
      <w:r>
        <w:rPr>
          <w:rFonts w:hint="eastAsia" w:ascii="Times New Roman" w:hAnsi="Times New Roman"/>
          <w:kern w:val="0"/>
          <w:sz w:val="28"/>
          <w:szCs w:val="28"/>
        </w:rPr>
        <w:t>y</w:t>
      </w:r>
      <w:r>
        <w:rPr>
          <w:rFonts w:ascii="Times New Roman" w:hAnsi="Times New Roman"/>
          <w:kern w:val="0"/>
          <w:sz w:val="28"/>
          <w:szCs w:val="28"/>
        </w:rPr>
        <w:t>9年受金融危机影响，外汇业务增长缓慢，但随着全球经济复苏，外汇业务逐步恢复；同时企业推出新国际业务系统及流程自动化，将更有助于该业务的成长。企业根据网点扩张与客户量增长的预期及20x0年上半年结算手续费收入人民币2,300万元的实际情况，预计20x0年及20x1年结算手续费收入将维持每年人民币1,100万元至1,300万元的增长。预计20x1年后结算手续费仍以较高的速度发展，但增长速度逐渐放缓。</w:t>
      </w:r>
    </w:p>
    <w:p>
      <w:pPr>
        <w:spacing w:line="360" w:lineRule="auto"/>
        <w:ind w:firstLine="584" w:firstLineChars="200"/>
        <w:rPr>
          <w:rFonts w:ascii="Times New Roman" w:hAnsi="Times New Roman"/>
          <w:kern w:val="0"/>
          <w:sz w:val="28"/>
          <w:szCs w:val="28"/>
        </w:rPr>
      </w:pPr>
      <w:r>
        <w:rPr>
          <w:rFonts w:ascii="Times New Roman" w:hAnsi="Times New Roman"/>
          <w:kern w:val="0"/>
          <w:sz w:val="28"/>
          <w:szCs w:val="28"/>
        </w:rPr>
        <w:t>2）代理手续费收入</w:t>
      </w:r>
    </w:p>
    <w:p>
      <w:pPr>
        <w:spacing w:line="360" w:lineRule="auto"/>
        <w:ind w:firstLine="584" w:firstLineChars="200"/>
        <w:rPr>
          <w:rFonts w:ascii="Times New Roman" w:hAnsi="Times New Roman"/>
          <w:kern w:val="0"/>
          <w:sz w:val="28"/>
          <w:szCs w:val="28"/>
        </w:rPr>
      </w:pPr>
      <w:r>
        <w:rPr>
          <w:rFonts w:ascii="Times New Roman" w:hAnsi="Times New Roman"/>
          <w:kern w:val="0"/>
          <w:sz w:val="28"/>
          <w:szCs w:val="28"/>
        </w:rPr>
        <w:t>20</w:t>
      </w:r>
      <w:r>
        <w:rPr>
          <w:rFonts w:hint="eastAsia" w:ascii="Times New Roman" w:hAnsi="Times New Roman"/>
          <w:kern w:val="0"/>
          <w:sz w:val="28"/>
          <w:szCs w:val="28"/>
        </w:rPr>
        <w:t>y</w:t>
      </w:r>
      <w:r>
        <w:rPr>
          <w:rFonts w:ascii="Times New Roman" w:hAnsi="Times New Roman"/>
          <w:kern w:val="0"/>
          <w:sz w:val="28"/>
          <w:szCs w:val="28"/>
        </w:rPr>
        <w:t>7年至20</w:t>
      </w:r>
      <w:r>
        <w:rPr>
          <w:rFonts w:hint="eastAsia" w:ascii="Times New Roman" w:hAnsi="Times New Roman"/>
          <w:kern w:val="0"/>
          <w:sz w:val="28"/>
          <w:szCs w:val="28"/>
        </w:rPr>
        <w:t>y</w:t>
      </w:r>
      <w:r>
        <w:rPr>
          <w:rFonts w:ascii="Times New Roman" w:hAnsi="Times New Roman"/>
          <w:kern w:val="0"/>
          <w:sz w:val="28"/>
          <w:szCs w:val="28"/>
        </w:rPr>
        <w:t>9年企业正处于转型期且受到金融危机影响，代理业务手续费收入迅速萎缩，但随着与集团其他子公司交叉销售业务的磨合完成，代理业务将逐步转入正轨。根据20x0年上半年代理业务手续费收入增长良好的实际情况（已高出20</w:t>
      </w:r>
      <w:r>
        <w:rPr>
          <w:rFonts w:hint="eastAsia" w:ascii="Times New Roman" w:hAnsi="Times New Roman"/>
          <w:kern w:val="0"/>
          <w:sz w:val="28"/>
          <w:szCs w:val="28"/>
        </w:rPr>
        <w:t>y</w:t>
      </w:r>
      <w:r>
        <w:rPr>
          <w:rFonts w:ascii="Times New Roman" w:hAnsi="Times New Roman"/>
          <w:kern w:val="0"/>
          <w:sz w:val="28"/>
          <w:szCs w:val="28"/>
        </w:rPr>
        <w:t>9年全年25%），预计20x0年及20x1年代理业务手续费收入将保持快速增长。20x1年后代理手续费收入保持比较稳定的增长速度发展。</w:t>
      </w:r>
    </w:p>
    <w:p>
      <w:pPr>
        <w:spacing w:line="360" w:lineRule="auto"/>
        <w:ind w:firstLine="584" w:firstLineChars="200"/>
        <w:rPr>
          <w:rFonts w:ascii="Times New Roman" w:hAnsi="Times New Roman"/>
          <w:kern w:val="0"/>
          <w:sz w:val="28"/>
          <w:szCs w:val="28"/>
        </w:rPr>
      </w:pPr>
      <w:r>
        <w:rPr>
          <w:rFonts w:ascii="Times New Roman" w:hAnsi="Times New Roman"/>
          <w:kern w:val="0"/>
          <w:sz w:val="28"/>
          <w:szCs w:val="28"/>
        </w:rPr>
        <w:t>3）受托业务手续费收入</w:t>
      </w:r>
    </w:p>
    <w:p>
      <w:pPr>
        <w:spacing w:line="360" w:lineRule="auto"/>
        <w:ind w:firstLine="584" w:firstLineChars="200"/>
        <w:rPr>
          <w:rFonts w:ascii="Times New Roman" w:hAnsi="Times New Roman"/>
          <w:kern w:val="0"/>
          <w:sz w:val="28"/>
          <w:szCs w:val="28"/>
        </w:rPr>
      </w:pPr>
      <w:r>
        <w:rPr>
          <w:rFonts w:ascii="Times New Roman" w:hAnsi="Times New Roman"/>
          <w:kern w:val="0"/>
          <w:sz w:val="28"/>
          <w:szCs w:val="28"/>
        </w:rPr>
        <w:t>受托业务手续费包括贷款额度管理费、委托贷款手续费收入、额度占用费及综合理财业务手续费收入等。基于20x0年上半年已实现收入人民币8,400万元，企业预计全年同比将有15%的增长。20x1年随着贷款额度管理费的回升，分行与网点的增加，各种公司及零售理财业务的拓展，及与集团交叉销售的深入开展，预计增幅将达35%。</w:t>
      </w:r>
    </w:p>
    <w:p>
      <w:pPr>
        <w:spacing w:line="360" w:lineRule="auto"/>
        <w:ind w:firstLine="584" w:firstLineChars="200"/>
        <w:rPr>
          <w:rFonts w:ascii="Times New Roman" w:hAnsi="Times New Roman"/>
          <w:kern w:val="0"/>
          <w:sz w:val="28"/>
          <w:szCs w:val="28"/>
        </w:rPr>
      </w:pPr>
      <w:r>
        <w:rPr>
          <w:rFonts w:ascii="Times New Roman" w:hAnsi="Times New Roman"/>
          <w:kern w:val="0"/>
          <w:sz w:val="28"/>
          <w:szCs w:val="28"/>
        </w:rPr>
        <w:t>4）银行卡手续费收入</w:t>
      </w:r>
    </w:p>
    <w:p>
      <w:pPr>
        <w:spacing w:line="360" w:lineRule="auto"/>
        <w:ind w:firstLine="584" w:firstLineChars="200"/>
        <w:rPr>
          <w:rFonts w:ascii="Times New Roman" w:hAnsi="Times New Roman"/>
          <w:kern w:val="0"/>
          <w:sz w:val="28"/>
          <w:szCs w:val="28"/>
        </w:rPr>
      </w:pPr>
      <w:r>
        <w:rPr>
          <w:rFonts w:ascii="Times New Roman" w:hAnsi="Times New Roman"/>
          <w:kern w:val="0"/>
          <w:sz w:val="28"/>
          <w:szCs w:val="28"/>
        </w:rPr>
        <w:t>银行卡手续费收入的增长主要来自于信用卡业务的持续扩张，根据信用卡未来业务规划，20</w:t>
      </w:r>
      <w:r>
        <w:rPr>
          <w:rFonts w:hint="eastAsia" w:ascii="Times New Roman" w:hAnsi="Times New Roman"/>
          <w:kern w:val="0"/>
          <w:sz w:val="28"/>
          <w:szCs w:val="28"/>
        </w:rPr>
        <w:t>y</w:t>
      </w:r>
      <w:r>
        <w:rPr>
          <w:rFonts w:ascii="Times New Roman" w:hAnsi="Times New Roman"/>
          <w:kern w:val="0"/>
          <w:sz w:val="28"/>
          <w:szCs w:val="28"/>
        </w:rPr>
        <w:t>9年年度及20x0年上半年信用卡累计流通发卡量分别为340万张和430万张，预计20x0年度与20x1年度将超过500万与800万张。银行卡手续费收入20</w:t>
      </w:r>
      <w:r>
        <w:rPr>
          <w:rFonts w:hint="eastAsia" w:ascii="Times New Roman" w:hAnsi="Times New Roman"/>
          <w:kern w:val="0"/>
          <w:sz w:val="28"/>
          <w:szCs w:val="28"/>
        </w:rPr>
        <w:t>y</w:t>
      </w:r>
      <w:r>
        <w:rPr>
          <w:rFonts w:ascii="Times New Roman" w:hAnsi="Times New Roman"/>
          <w:kern w:val="0"/>
          <w:sz w:val="28"/>
          <w:szCs w:val="28"/>
        </w:rPr>
        <w:t>8与20</w:t>
      </w:r>
      <w:r>
        <w:rPr>
          <w:rFonts w:hint="eastAsia" w:ascii="Times New Roman" w:hAnsi="Times New Roman"/>
          <w:kern w:val="0"/>
          <w:sz w:val="28"/>
          <w:szCs w:val="28"/>
        </w:rPr>
        <w:t>y</w:t>
      </w:r>
      <w:r>
        <w:rPr>
          <w:rFonts w:ascii="Times New Roman" w:hAnsi="Times New Roman"/>
          <w:kern w:val="0"/>
          <w:sz w:val="28"/>
          <w:szCs w:val="28"/>
        </w:rPr>
        <w:t>9年的实际增长率也分别达到250%和108%，从20</w:t>
      </w:r>
      <w:r>
        <w:rPr>
          <w:rFonts w:hint="eastAsia" w:ascii="Times New Roman" w:hAnsi="Times New Roman"/>
          <w:kern w:val="0"/>
          <w:sz w:val="28"/>
          <w:szCs w:val="28"/>
        </w:rPr>
        <w:t>y</w:t>
      </w:r>
      <w:r>
        <w:rPr>
          <w:rFonts w:ascii="Times New Roman" w:hAnsi="Times New Roman"/>
          <w:kern w:val="0"/>
          <w:sz w:val="28"/>
          <w:szCs w:val="28"/>
        </w:rPr>
        <w:t>6至20</w:t>
      </w:r>
      <w:r>
        <w:rPr>
          <w:rFonts w:hint="eastAsia" w:ascii="Times New Roman" w:hAnsi="Times New Roman"/>
          <w:kern w:val="0"/>
          <w:sz w:val="28"/>
          <w:szCs w:val="28"/>
        </w:rPr>
        <w:t>y</w:t>
      </w:r>
      <w:r>
        <w:rPr>
          <w:rFonts w:ascii="Times New Roman" w:hAnsi="Times New Roman"/>
          <w:kern w:val="0"/>
          <w:sz w:val="28"/>
          <w:szCs w:val="28"/>
        </w:rPr>
        <w:t>9年信用卡业务净收入的复合增长率达到了74.3%。未来，信用卡在业务扩张的同时也将加强精细化经营的力度，通过发行车主卡、白金卡等新产品增加年费收入；通过开展帐单分期、邮购分期、网上商城等增加分期业务手续费收入；另外，随着银联规范POS机商户管理和信用卡中心对高回佣消费领域的重点经营，发卡行回佣率持续提升，由此带来回佣收入大幅提升。根据历史数据结合信用卡业务的未来规划，企业预计银行卡手续费收入相应也将维持大幅度的增长，20x0年及20x1年预测的年度增长分别为76%和85%。预计20x1年银行卡的手续费收入仍将会迅速发展，保持在较高的发展速度。</w:t>
      </w:r>
    </w:p>
    <w:p>
      <w:pPr>
        <w:spacing w:line="360" w:lineRule="auto"/>
        <w:ind w:firstLine="584" w:firstLineChars="200"/>
        <w:rPr>
          <w:rFonts w:ascii="Times New Roman" w:hAnsi="Times New Roman"/>
          <w:kern w:val="0"/>
          <w:sz w:val="28"/>
          <w:szCs w:val="28"/>
        </w:rPr>
      </w:pPr>
      <w:r>
        <w:rPr>
          <w:rFonts w:ascii="Times New Roman" w:hAnsi="Times New Roman"/>
          <w:kern w:val="0"/>
          <w:sz w:val="28"/>
          <w:szCs w:val="28"/>
        </w:rPr>
        <w:t>5）其他手续费收入</w:t>
      </w:r>
    </w:p>
    <w:p>
      <w:pPr>
        <w:spacing w:line="360" w:lineRule="auto"/>
        <w:ind w:firstLine="584" w:firstLineChars="200"/>
        <w:rPr>
          <w:rFonts w:ascii="Times New Roman" w:hAnsi="Times New Roman"/>
          <w:kern w:val="0"/>
          <w:sz w:val="28"/>
          <w:szCs w:val="28"/>
        </w:rPr>
      </w:pPr>
      <w:r>
        <w:rPr>
          <w:rFonts w:ascii="Times New Roman" w:hAnsi="Times New Roman"/>
          <w:kern w:val="0"/>
          <w:sz w:val="28"/>
          <w:szCs w:val="28"/>
        </w:rPr>
        <w:t>其他手续费的增长主要来源于投资银行手续收入的增长。20</w:t>
      </w:r>
      <w:r>
        <w:rPr>
          <w:rFonts w:hint="eastAsia" w:ascii="Times New Roman" w:hAnsi="Times New Roman"/>
          <w:kern w:val="0"/>
          <w:sz w:val="28"/>
          <w:szCs w:val="28"/>
        </w:rPr>
        <w:t>y</w:t>
      </w:r>
      <w:r>
        <w:rPr>
          <w:rFonts w:ascii="Times New Roman" w:hAnsi="Times New Roman"/>
          <w:kern w:val="0"/>
          <w:sz w:val="28"/>
          <w:szCs w:val="28"/>
        </w:rPr>
        <w:t>9年度投资银行手续费收入为人民币5,000万元，截至20x0年6月30日，投资银行手续费收入已达人民币5,500万元，企业预计20x0年全年其他手续费收入增长幅度约为21%；而随着投行业务的不断拓展，20x1年手续费收入将有33%的增长预期，预计20x1年后增长速度趋于稳定。</w:t>
      </w:r>
    </w:p>
    <w:p>
      <w:pPr>
        <w:spacing w:line="360" w:lineRule="auto"/>
        <w:jc w:val="center"/>
        <w:rPr>
          <w:rFonts w:ascii="Times New Roman" w:hAnsi="Times New Roman" w:eastAsia="黑体"/>
          <w:sz w:val="24"/>
          <w:lang w:val="zh-CN"/>
        </w:rPr>
      </w:pPr>
      <w:r>
        <w:rPr>
          <w:rFonts w:ascii="Times New Roman" w:hAnsi="Times New Roman" w:eastAsia="黑体"/>
          <w:sz w:val="24"/>
          <w:lang w:val="zh-CN"/>
        </w:rPr>
        <w:t>手续费收入预测表</w:t>
      </w:r>
    </w:p>
    <w:p>
      <w:pPr>
        <w:spacing w:line="360" w:lineRule="auto"/>
        <w:ind w:firstLine="444" w:firstLineChars="200"/>
        <w:jc w:val="right"/>
        <w:rPr>
          <w:rFonts w:ascii="Times New Roman" w:hAnsi="Times New Roman"/>
          <w:kern w:val="0"/>
          <w:sz w:val="21"/>
          <w:szCs w:val="21"/>
        </w:rPr>
      </w:pPr>
      <w:r>
        <w:rPr>
          <w:rFonts w:hint="eastAsia" w:ascii="Times New Roman" w:hAnsi="Times New Roman"/>
          <w:kern w:val="0"/>
          <w:sz w:val="21"/>
          <w:szCs w:val="21"/>
        </w:rPr>
        <w:t>金额</w:t>
      </w:r>
      <w:r>
        <w:rPr>
          <w:rFonts w:ascii="Times New Roman" w:hAnsi="Times New Roman"/>
          <w:kern w:val="0"/>
          <w:sz w:val="21"/>
          <w:szCs w:val="21"/>
        </w:rPr>
        <w:t>单位：</w:t>
      </w:r>
      <w:r>
        <w:rPr>
          <w:rFonts w:hint="eastAsia" w:ascii="Times New Roman" w:hAnsi="Times New Roman"/>
          <w:kern w:val="0"/>
          <w:sz w:val="21"/>
          <w:szCs w:val="21"/>
        </w:rPr>
        <w:t>人民币</w:t>
      </w:r>
      <w:r>
        <w:rPr>
          <w:rFonts w:ascii="Times New Roman" w:hAnsi="Times New Roman"/>
          <w:kern w:val="0"/>
          <w:sz w:val="21"/>
          <w:szCs w:val="21"/>
        </w:rPr>
        <w:t>百万元</w:t>
      </w:r>
    </w:p>
    <w:tbl>
      <w:tblPr>
        <w:tblStyle w:val="27"/>
        <w:tblW w:w="9162" w:type="dxa"/>
        <w:jc w:val="righ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87"/>
        <w:gridCol w:w="1095"/>
        <w:gridCol w:w="801"/>
        <w:gridCol w:w="905"/>
        <w:gridCol w:w="905"/>
        <w:gridCol w:w="905"/>
        <w:gridCol w:w="905"/>
        <w:gridCol w:w="905"/>
        <w:gridCol w:w="8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0" w:hRule="atLeast"/>
          <w:jc w:val="right"/>
        </w:trPr>
        <w:tc>
          <w:tcPr>
            <w:tcW w:w="188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Times New Roman" w:hAnsi="Times New Roman" w:eastAsia="宋体"/>
                <w:b/>
                <w:kern w:val="0"/>
                <w:sz w:val="18"/>
                <w:szCs w:val="18"/>
              </w:rPr>
            </w:pPr>
            <w:r>
              <w:rPr>
                <w:rFonts w:ascii="Times New Roman" w:hAnsi="Times New Roman" w:eastAsia="宋体"/>
                <w:b/>
                <w:kern w:val="0"/>
                <w:sz w:val="18"/>
                <w:szCs w:val="18"/>
              </w:rPr>
              <w:t>项目</w:t>
            </w:r>
          </w:p>
        </w:tc>
        <w:tc>
          <w:tcPr>
            <w:tcW w:w="1095"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Times New Roman" w:hAnsi="Times New Roman" w:eastAsia="宋体"/>
                <w:b/>
                <w:kern w:val="0"/>
                <w:sz w:val="18"/>
                <w:szCs w:val="18"/>
              </w:rPr>
            </w:pPr>
            <w:r>
              <w:rPr>
                <w:rFonts w:ascii="Times New Roman" w:hAnsi="Times New Roman" w:eastAsia="宋体"/>
                <w:b/>
                <w:kern w:val="0"/>
                <w:sz w:val="18"/>
                <w:szCs w:val="18"/>
              </w:rPr>
              <w:t>20x0下</w:t>
            </w:r>
          </w:p>
        </w:tc>
        <w:tc>
          <w:tcPr>
            <w:tcW w:w="801"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Times New Roman" w:hAnsi="Times New Roman" w:eastAsia="宋体"/>
                <w:b/>
                <w:kern w:val="0"/>
                <w:sz w:val="18"/>
                <w:szCs w:val="18"/>
              </w:rPr>
            </w:pPr>
            <w:r>
              <w:rPr>
                <w:rFonts w:ascii="Times New Roman" w:hAnsi="Times New Roman" w:eastAsia="宋体"/>
                <w:b/>
                <w:kern w:val="0"/>
                <w:sz w:val="18"/>
                <w:szCs w:val="18"/>
              </w:rPr>
              <w:t>20x1</w:t>
            </w:r>
          </w:p>
        </w:tc>
        <w:tc>
          <w:tcPr>
            <w:tcW w:w="905"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Times New Roman" w:hAnsi="Times New Roman" w:eastAsia="宋体"/>
                <w:b/>
                <w:kern w:val="0"/>
                <w:sz w:val="18"/>
                <w:szCs w:val="18"/>
              </w:rPr>
            </w:pPr>
            <w:r>
              <w:rPr>
                <w:rFonts w:ascii="Times New Roman" w:hAnsi="Times New Roman" w:eastAsia="宋体"/>
                <w:b/>
                <w:kern w:val="0"/>
                <w:sz w:val="18"/>
                <w:szCs w:val="18"/>
              </w:rPr>
              <w:t>20x2</w:t>
            </w:r>
          </w:p>
        </w:tc>
        <w:tc>
          <w:tcPr>
            <w:tcW w:w="905"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Times New Roman" w:hAnsi="Times New Roman" w:eastAsia="宋体"/>
                <w:b/>
                <w:kern w:val="0"/>
                <w:sz w:val="18"/>
                <w:szCs w:val="18"/>
              </w:rPr>
            </w:pPr>
            <w:r>
              <w:rPr>
                <w:rFonts w:ascii="Times New Roman" w:hAnsi="Times New Roman" w:eastAsia="宋体"/>
                <w:b/>
                <w:kern w:val="0"/>
                <w:sz w:val="18"/>
                <w:szCs w:val="18"/>
              </w:rPr>
              <w:t>20x3</w:t>
            </w:r>
          </w:p>
        </w:tc>
        <w:tc>
          <w:tcPr>
            <w:tcW w:w="905"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Times New Roman" w:hAnsi="Times New Roman" w:eastAsia="宋体"/>
                <w:b/>
                <w:kern w:val="0"/>
                <w:sz w:val="18"/>
                <w:szCs w:val="18"/>
              </w:rPr>
            </w:pPr>
            <w:r>
              <w:rPr>
                <w:rFonts w:ascii="Times New Roman" w:hAnsi="Times New Roman" w:eastAsia="宋体"/>
                <w:b/>
                <w:kern w:val="0"/>
                <w:sz w:val="18"/>
                <w:szCs w:val="18"/>
              </w:rPr>
              <w:t>20x4</w:t>
            </w:r>
          </w:p>
        </w:tc>
        <w:tc>
          <w:tcPr>
            <w:tcW w:w="905"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Times New Roman" w:hAnsi="Times New Roman" w:eastAsia="宋体"/>
                <w:b/>
                <w:kern w:val="0"/>
                <w:sz w:val="18"/>
                <w:szCs w:val="18"/>
              </w:rPr>
            </w:pPr>
            <w:r>
              <w:rPr>
                <w:rFonts w:ascii="Times New Roman" w:hAnsi="Times New Roman" w:eastAsia="宋体"/>
                <w:b/>
                <w:kern w:val="0"/>
                <w:sz w:val="18"/>
                <w:szCs w:val="18"/>
              </w:rPr>
              <w:t>20x5</w:t>
            </w:r>
          </w:p>
        </w:tc>
        <w:tc>
          <w:tcPr>
            <w:tcW w:w="905"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Times New Roman" w:hAnsi="Times New Roman" w:eastAsia="宋体"/>
                <w:b/>
                <w:kern w:val="0"/>
                <w:sz w:val="18"/>
                <w:szCs w:val="18"/>
              </w:rPr>
            </w:pPr>
            <w:r>
              <w:rPr>
                <w:rFonts w:ascii="Times New Roman" w:hAnsi="Times New Roman" w:eastAsia="宋体"/>
                <w:b/>
                <w:kern w:val="0"/>
                <w:sz w:val="18"/>
                <w:szCs w:val="18"/>
              </w:rPr>
              <w:t>20x6</w:t>
            </w:r>
          </w:p>
        </w:tc>
        <w:tc>
          <w:tcPr>
            <w:tcW w:w="854"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Times New Roman" w:hAnsi="Times New Roman" w:eastAsia="宋体"/>
                <w:b/>
                <w:kern w:val="0"/>
                <w:sz w:val="18"/>
                <w:szCs w:val="18"/>
              </w:rPr>
            </w:pPr>
            <w:r>
              <w:rPr>
                <w:rFonts w:ascii="Times New Roman" w:hAnsi="Times New Roman" w:eastAsia="宋体"/>
                <w:b/>
                <w:kern w:val="0"/>
                <w:sz w:val="18"/>
                <w:szCs w:val="18"/>
              </w:rPr>
              <w:t>20x7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0" w:hRule="atLeast"/>
          <w:jc w:val="right"/>
        </w:trPr>
        <w:tc>
          <w:tcPr>
            <w:tcW w:w="1887" w:type="dxa"/>
            <w:tcBorders>
              <w:top w:val="nil"/>
              <w:left w:val="single" w:color="auto" w:sz="4" w:space="0"/>
              <w:bottom w:val="single" w:color="auto" w:sz="4" w:space="0"/>
              <w:right w:val="single" w:color="auto" w:sz="4" w:space="0"/>
            </w:tcBorders>
            <w:vAlign w:val="center"/>
          </w:tcPr>
          <w:p>
            <w:pPr>
              <w:widowControl/>
              <w:spacing w:line="240" w:lineRule="auto"/>
              <w:jc w:val="left"/>
              <w:rPr>
                <w:rFonts w:ascii="Times New Roman" w:hAnsi="Times New Roman" w:eastAsia="宋体"/>
                <w:kern w:val="0"/>
                <w:sz w:val="18"/>
                <w:szCs w:val="18"/>
              </w:rPr>
            </w:pPr>
            <w:r>
              <w:rPr>
                <w:rFonts w:ascii="Times New Roman" w:hAnsi="Times New Roman" w:eastAsia="宋体"/>
                <w:kern w:val="0"/>
                <w:sz w:val="18"/>
                <w:szCs w:val="18"/>
              </w:rPr>
              <w:t>结算与清算手续费</w:t>
            </w:r>
          </w:p>
        </w:tc>
        <w:tc>
          <w:tcPr>
            <w:tcW w:w="1095" w:type="dxa"/>
            <w:tcBorders>
              <w:top w:val="nil"/>
              <w:left w:val="nil"/>
              <w:bottom w:val="single" w:color="auto" w:sz="4" w:space="0"/>
              <w:right w:val="single" w:color="auto" w:sz="4" w:space="0"/>
            </w:tcBorders>
            <w:vAlign w:val="center"/>
          </w:tcPr>
          <w:p>
            <w:pPr>
              <w:spacing w:line="240" w:lineRule="auto"/>
              <w:jc w:val="right"/>
              <w:rPr>
                <w:rFonts w:ascii="Times New Roman" w:hAnsi="Times New Roman" w:eastAsia="宋体"/>
                <w:sz w:val="18"/>
                <w:szCs w:val="18"/>
              </w:rPr>
            </w:pPr>
            <w:r>
              <w:rPr>
                <w:rFonts w:ascii="Times New Roman" w:hAnsi="Times New Roman" w:eastAsia="宋体"/>
                <w:sz w:val="18"/>
                <w:szCs w:val="18"/>
              </w:rPr>
              <w:t>24</w:t>
            </w:r>
          </w:p>
        </w:tc>
        <w:tc>
          <w:tcPr>
            <w:tcW w:w="801" w:type="dxa"/>
            <w:tcBorders>
              <w:top w:val="nil"/>
              <w:left w:val="nil"/>
              <w:bottom w:val="single" w:color="auto" w:sz="4" w:space="0"/>
              <w:right w:val="single" w:color="auto" w:sz="4" w:space="0"/>
            </w:tcBorders>
            <w:vAlign w:val="center"/>
          </w:tcPr>
          <w:p>
            <w:pPr>
              <w:spacing w:line="240" w:lineRule="auto"/>
              <w:jc w:val="right"/>
              <w:rPr>
                <w:rFonts w:ascii="Times New Roman" w:hAnsi="Times New Roman" w:eastAsia="宋体"/>
                <w:sz w:val="18"/>
                <w:szCs w:val="18"/>
              </w:rPr>
            </w:pPr>
            <w:r>
              <w:rPr>
                <w:rFonts w:ascii="Times New Roman" w:hAnsi="Times New Roman" w:eastAsia="宋体"/>
                <w:sz w:val="18"/>
                <w:szCs w:val="18"/>
              </w:rPr>
              <w:t>60</w:t>
            </w:r>
          </w:p>
        </w:tc>
        <w:tc>
          <w:tcPr>
            <w:tcW w:w="905" w:type="dxa"/>
            <w:tcBorders>
              <w:top w:val="nil"/>
              <w:left w:val="nil"/>
              <w:bottom w:val="single" w:color="auto" w:sz="4" w:space="0"/>
              <w:right w:val="single" w:color="auto" w:sz="4" w:space="0"/>
            </w:tcBorders>
            <w:vAlign w:val="center"/>
          </w:tcPr>
          <w:p>
            <w:pPr>
              <w:spacing w:line="240" w:lineRule="auto"/>
              <w:jc w:val="right"/>
              <w:rPr>
                <w:rFonts w:ascii="Times New Roman" w:hAnsi="Times New Roman" w:eastAsia="宋体"/>
                <w:sz w:val="18"/>
                <w:szCs w:val="18"/>
              </w:rPr>
            </w:pPr>
            <w:r>
              <w:rPr>
                <w:rFonts w:ascii="Times New Roman" w:hAnsi="Times New Roman" w:eastAsia="宋体"/>
                <w:sz w:val="18"/>
                <w:szCs w:val="18"/>
              </w:rPr>
              <w:t>111</w:t>
            </w:r>
          </w:p>
        </w:tc>
        <w:tc>
          <w:tcPr>
            <w:tcW w:w="905" w:type="dxa"/>
            <w:tcBorders>
              <w:top w:val="nil"/>
              <w:left w:val="nil"/>
              <w:bottom w:val="single" w:color="auto" w:sz="4" w:space="0"/>
              <w:right w:val="single" w:color="auto" w:sz="4" w:space="0"/>
            </w:tcBorders>
            <w:vAlign w:val="center"/>
          </w:tcPr>
          <w:p>
            <w:pPr>
              <w:spacing w:line="240" w:lineRule="auto"/>
              <w:jc w:val="right"/>
              <w:rPr>
                <w:rFonts w:ascii="Times New Roman" w:hAnsi="Times New Roman" w:eastAsia="宋体"/>
                <w:sz w:val="18"/>
                <w:szCs w:val="18"/>
              </w:rPr>
            </w:pPr>
            <w:r>
              <w:rPr>
                <w:rFonts w:ascii="Times New Roman" w:hAnsi="Times New Roman" w:eastAsia="宋体"/>
                <w:sz w:val="18"/>
                <w:szCs w:val="18"/>
              </w:rPr>
              <w:t>164</w:t>
            </w:r>
          </w:p>
        </w:tc>
        <w:tc>
          <w:tcPr>
            <w:tcW w:w="905" w:type="dxa"/>
            <w:tcBorders>
              <w:top w:val="nil"/>
              <w:left w:val="nil"/>
              <w:bottom w:val="single" w:color="auto" w:sz="4" w:space="0"/>
              <w:right w:val="single" w:color="auto" w:sz="4" w:space="0"/>
            </w:tcBorders>
            <w:vAlign w:val="center"/>
          </w:tcPr>
          <w:p>
            <w:pPr>
              <w:spacing w:line="240" w:lineRule="auto"/>
              <w:jc w:val="right"/>
              <w:rPr>
                <w:rFonts w:ascii="Times New Roman" w:hAnsi="Times New Roman" w:eastAsia="宋体"/>
                <w:sz w:val="18"/>
                <w:szCs w:val="18"/>
              </w:rPr>
            </w:pPr>
            <w:r>
              <w:rPr>
                <w:rFonts w:ascii="Times New Roman" w:hAnsi="Times New Roman" w:eastAsia="宋体"/>
                <w:sz w:val="18"/>
                <w:szCs w:val="18"/>
              </w:rPr>
              <w:t>212</w:t>
            </w:r>
          </w:p>
        </w:tc>
        <w:tc>
          <w:tcPr>
            <w:tcW w:w="905" w:type="dxa"/>
            <w:tcBorders>
              <w:top w:val="nil"/>
              <w:left w:val="nil"/>
              <w:bottom w:val="single" w:color="auto" w:sz="4" w:space="0"/>
              <w:right w:val="single" w:color="auto" w:sz="4" w:space="0"/>
            </w:tcBorders>
            <w:vAlign w:val="center"/>
          </w:tcPr>
          <w:p>
            <w:pPr>
              <w:spacing w:line="240" w:lineRule="auto"/>
              <w:jc w:val="right"/>
              <w:rPr>
                <w:rFonts w:ascii="Times New Roman" w:hAnsi="Times New Roman" w:eastAsia="宋体"/>
                <w:sz w:val="18"/>
                <w:szCs w:val="18"/>
              </w:rPr>
            </w:pPr>
            <w:r>
              <w:rPr>
                <w:rFonts w:ascii="Times New Roman" w:hAnsi="Times New Roman" w:eastAsia="宋体"/>
                <w:sz w:val="18"/>
                <w:szCs w:val="18"/>
              </w:rPr>
              <w:t>259</w:t>
            </w:r>
          </w:p>
        </w:tc>
        <w:tc>
          <w:tcPr>
            <w:tcW w:w="905" w:type="dxa"/>
            <w:tcBorders>
              <w:top w:val="nil"/>
              <w:left w:val="nil"/>
              <w:bottom w:val="single" w:color="auto" w:sz="4" w:space="0"/>
              <w:right w:val="single" w:color="auto" w:sz="4" w:space="0"/>
            </w:tcBorders>
            <w:vAlign w:val="center"/>
          </w:tcPr>
          <w:p>
            <w:pPr>
              <w:spacing w:line="240" w:lineRule="auto"/>
              <w:jc w:val="right"/>
              <w:rPr>
                <w:rFonts w:ascii="Times New Roman" w:hAnsi="Times New Roman" w:eastAsia="宋体"/>
                <w:sz w:val="18"/>
                <w:szCs w:val="18"/>
              </w:rPr>
            </w:pPr>
            <w:r>
              <w:rPr>
                <w:rFonts w:ascii="Times New Roman" w:hAnsi="Times New Roman" w:eastAsia="宋体"/>
                <w:sz w:val="18"/>
                <w:szCs w:val="18"/>
              </w:rPr>
              <w:t>313</w:t>
            </w:r>
          </w:p>
        </w:tc>
        <w:tc>
          <w:tcPr>
            <w:tcW w:w="854" w:type="dxa"/>
            <w:tcBorders>
              <w:top w:val="nil"/>
              <w:left w:val="nil"/>
              <w:bottom w:val="single" w:color="auto" w:sz="4" w:space="0"/>
              <w:right w:val="single" w:color="auto" w:sz="4" w:space="0"/>
            </w:tcBorders>
            <w:vAlign w:val="center"/>
          </w:tcPr>
          <w:p>
            <w:pPr>
              <w:spacing w:line="240" w:lineRule="auto"/>
              <w:jc w:val="right"/>
              <w:rPr>
                <w:rFonts w:ascii="Times New Roman" w:hAnsi="Times New Roman" w:eastAsia="宋体"/>
                <w:sz w:val="18"/>
                <w:szCs w:val="18"/>
              </w:rPr>
            </w:pPr>
            <w:r>
              <w:rPr>
                <w:rFonts w:ascii="Times New Roman" w:hAnsi="Times New Roman" w:eastAsia="宋体"/>
                <w:sz w:val="18"/>
                <w:szCs w:val="18"/>
              </w:rPr>
              <w:t>376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0" w:hRule="atLeast"/>
          <w:jc w:val="right"/>
        </w:trPr>
        <w:tc>
          <w:tcPr>
            <w:tcW w:w="1887" w:type="dxa"/>
            <w:tcBorders>
              <w:top w:val="nil"/>
              <w:left w:val="single" w:color="auto" w:sz="4" w:space="0"/>
              <w:bottom w:val="single" w:color="auto" w:sz="4" w:space="0"/>
              <w:right w:val="single" w:color="auto" w:sz="4" w:space="0"/>
            </w:tcBorders>
            <w:vAlign w:val="center"/>
          </w:tcPr>
          <w:p>
            <w:pPr>
              <w:widowControl/>
              <w:spacing w:line="240" w:lineRule="auto"/>
              <w:jc w:val="left"/>
              <w:rPr>
                <w:rFonts w:ascii="Times New Roman" w:hAnsi="Times New Roman" w:eastAsia="宋体"/>
                <w:kern w:val="0"/>
                <w:sz w:val="18"/>
                <w:szCs w:val="18"/>
              </w:rPr>
            </w:pPr>
            <w:r>
              <w:rPr>
                <w:rFonts w:ascii="Times New Roman" w:hAnsi="Times New Roman" w:eastAsia="宋体"/>
                <w:kern w:val="0"/>
                <w:sz w:val="18"/>
                <w:szCs w:val="18"/>
              </w:rPr>
              <w:t>代理业务手续费</w:t>
            </w:r>
          </w:p>
        </w:tc>
        <w:tc>
          <w:tcPr>
            <w:tcW w:w="1095" w:type="dxa"/>
            <w:tcBorders>
              <w:top w:val="nil"/>
              <w:left w:val="nil"/>
              <w:bottom w:val="single" w:color="auto" w:sz="4" w:space="0"/>
              <w:right w:val="single" w:color="auto" w:sz="4" w:space="0"/>
            </w:tcBorders>
            <w:vAlign w:val="center"/>
          </w:tcPr>
          <w:p>
            <w:pPr>
              <w:spacing w:line="240" w:lineRule="auto"/>
              <w:jc w:val="right"/>
              <w:rPr>
                <w:rFonts w:ascii="Times New Roman" w:hAnsi="Times New Roman" w:eastAsia="宋体"/>
                <w:sz w:val="18"/>
                <w:szCs w:val="18"/>
              </w:rPr>
            </w:pPr>
            <w:r>
              <w:rPr>
                <w:rFonts w:ascii="Times New Roman" w:hAnsi="Times New Roman" w:eastAsia="宋体"/>
                <w:sz w:val="18"/>
                <w:szCs w:val="18"/>
              </w:rPr>
              <w:t>13</w:t>
            </w:r>
          </w:p>
        </w:tc>
        <w:tc>
          <w:tcPr>
            <w:tcW w:w="801" w:type="dxa"/>
            <w:tcBorders>
              <w:top w:val="nil"/>
              <w:left w:val="nil"/>
              <w:bottom w:val="single" w:color="auto" w:sz="4" w:space="0"/>
              <w:right w:val="single" w:color="auto" w:sz="4" w:space="0"/>
            </w:tcBorders>
            <w:vAlign w:val="center"/>
          </w:tcPr>
          <w:p>
            <w:pPr>
              <w:spacing w:line="240" w:lineRule="auto"/>
              <w:jc w:val="right"/>
              <w:rPr>
                <w:rFonts w:ascii="Times New Roman" w:hAnsi="Times New Roman" w:eastAsia="宋体"/>
                <w:sz w:val="18"/>
                <w:szCs w:val="18"/>
              </w:rPr>
            </w:pPr>
            <w:r>
              <w:rPr>
                <w:rFonts w:ascii="Times New Roman" w:hAnsi="Times New Roman" w:eastAsia="宋体"/>
                <w:sz w:val="18"/>
                <w:szCs w:val="18"/>
              </w:rPr>
              <w:t>37</w:t>
            </w:r>
          </w:p>
        </w:tc>
        <w:tc>
          <w:tcPr>
            <w:tcW w:w="905" w:type="dxa"/>
            <w:tcBorders>
              <w:top w:val="nil"/>
              <w:left w:val="nil"/>
              <w:bottom w:val="single" w:color="auto" w:sz="4" w:space="0"/>
              <w:right w:val="single" w:color="auto" w:sz="4" w:space="0"/>
            </w:tcBorders>
            <w:vAlign w:val="center"/>
          </w:tcPr>
          <w:p>
            <w:pPr>
              <w:spacing w:line="240" w:lineRule="auto"/>
              <w:jc w:val="right"/>
              <w:rPr>
                <w:rFonts w:ascii="Times New Roman" w:hAnsi="Times New Roman" w:eastAsia="宋体"/>
                <w:sz w:val="18"/>
                <w:szCs w:val="18"/>
              </w:rPr>
            </w:pPr>
            <w:r>
              <w:rPr>
                <w:rFonts w:ascii="Times New Roman" w:hAnsi="Times New Roman" w:eastAsia="宋体"/>
                <w:sz w:val="18"/>
                <w:szCs w:val="18"/>
              </w:rPr>
              <w:t>44</w:t>
            </w:r>
          </w:p>
        </w:tc>
        <w:tc>
          <w:tcPr>
            <w:tcW w:w="905" w:type="dxa"/>
            <w:tcBorders>
              <w:top w:val="nil"/>
              <w:left w:val="nil"/>
              <w:bottom w:val="single" w:color="auto" w:sz="4" w:space="0"/>
              <w:right w:val="single" w:color="auto" w:sz="4" w:space="0"/>
            </w:tcBorders>
            <w:vAlign w:val="center"/>
          </w:tcPr>
          <w:p>
            <w:pPr>
              <w:spacing w:line="240" w:lineRule="auto"/>
              <w:jc w:val="right"/>
              <w:rPr>
                <w:rFonts w:ascii="Times New Roman" w:hAnsi="Times New Roman" w:eastAsia="宋体"/>
                <w:sz w:val="18"/>
                <w:szCs w:val="18"/>
              </w:rPr>
            </w:pPr>
            <w:r>
              <w:rPr>
                <w:rFonts w:ascii="Times New Roman" w:hAnsi="Times New Roman" w:eastAsia="宋体"/>
                <w:sz w:val="18"/>
                <w:szCs w:val="18"/>
              </w:rPr>
              <w:t>52</w:t>
            </w:r>
          </w:p>
        </w:tc>
        <w:tc>
          <w:tcPr>
            <w:tcW w:w="905" w:type="dxa"/>
            <w:tcBorders>
              <w:top w:val="nil"/>
              <w:left w:val="nil"/>
              <w:bottom w:val="single" w:color="auto" w:sz="4" w:space="0"/>
              <w:right w:val="single" w:color="auto" w:sz="4" w:space="0"/>
            </w:tcBorders>
            <w:vAlign w:val="center"/>
          </w:tcPr>
          <w:p>
            <w:pPr>
              <w:spacing w:line="240" w:lineRule="auto"/>
              <w:jc w:val="right"/>
              <w:rPr>
                <w:rFonts w:ascii="Times New Roman" w:hAnsi="Times New Roman" w:eastAsia="宋体"/>
                <w:sz w:val="18"/>
                <w:szCs w:val="18"/>
              </w:rPr>
            </w:pPr>
            <w:r>
              <w:rPr>
                <w:rFonts w:ascii="Times New Roman" w:hAnsi="Times New Roman" w:eastAsia="宋体"/>
                <w:sz w:val="18"/>
                <w:szCs w:val="18"/>
              </w:rPr>
              <w:t>61</w:t>
            </w:r>
          </w:p>
        </w:tc>
        <w:tc>
          <w:tcPr>
            <w:tcW w:w="905" w:type="dxa"/>
            <w:tcBorders>
              <w:top w:val="nil"/>
              <w:left w:val="nil"/>
              <w:bottom w:val="single" w:color="auto" w:sz="4" w:space="0"/>
              <w:right w:val="single" w:color="auto" w:sz="4" w:space="0"/>
            </w:tcBorders>
            <w:vAlign w:val="center"/>
          </w:tcPr>
          <w:p>
            <w:pPr>
              <w:spacing w:line="240" w:lineRule="auto"/>
              <w:jc w:val="right"/>
              <w:rPr>
                <w:rFonts w:ascii="Times New Roman" w:hAnsi="Times New Roman" w:eastAsia="宋体"/>
                <w:sz w:val="18"/>
                <w:szCs w:val="18"/>
              </w:rPr>
            </w:pPr>
            <w:r>
              <w:rPr>
                <w:rFonts w:ascii="Times New Roman" w:hAnsi="Times New Roman" w:eastAsia="宋体"/>
                <w:sz w:val="18"/>
                <w:szCs w:val="18"/>
              </w:rPr>
              <w:t>69</w:t>
            </w:r>
          </w:p>
        </w:tc>
        <w:tc>
          <w:tcPr>
            <w:tcW w:w="905" w:type="dxa"/>
            <w:tcBorders>
              <w:top w:val="nil"/>
              <w:left w:val="nil"/>
              <w:bottom w:val="single" w:color="auto" w:sz="4" w:space="0"/>
              <w:right w:val="single" w:color="auto" w:sz="4" w:space="0"/>
            </w:tcBorders>
            <w:vAlign w:val="center"/>
          </w:tcPr>
          <w:p>
            <w:pPr>
              <w:spacing w:line="240" w:lineRule="auto"/>
              <w:jc w:val="right"/>
              <w:rPr>
                <w:rFonts w:ascii="Times New Roman" w:hAnsi="Times New Roman" w:eastAsia="宋体"/>
                <w:sz w:val="18"/>
                <w:szCs w:val="18"/>
              </w:rPr>
            </w:pPr>
            <w:r>
              <w:rPr>
                <w:rFonts w:ascii="Times New Roman" w:hAnsi="Times New Roman" w:eastAsia="宋体"/>
                <w:sz w:val="18"/>
                <w:szCs w:val="18"/>
              </w:rPr>
              <w:t>78</w:t>
            </w:r>
          </w:p>
        </w:tc>
        <w:tc>
          <w:tcPr>
            <w:tcW w:w="854" w:type="dxa"/>
            <w:tcBorders>
              <w:top w:val="nil"/>
              <w:left w:val="nil"/>
              <w:bottom w:val="single" w:color="auto" w:sz="4" w:space="0"/>
              <w:right w:val="single" w:color="auto" w:sz="4" w:space="0"/>
            </w:tcBorders>
            <w:vAlign w:val="center"/>
          </w:tcPr>
          <w:p>
            <w:pPr>
              <w:spacing w:line="240" w:lineRule="auto"/>
              <w:jc w:val="right"/>
              <w:rPr>
                <w:rFonts w:ascii="Times New Roman" w:hAnsi="Times New Roman" w:eastAsia="宋体"/>
                <w:sz w:val="18"/>
                <w:szCs w:val="18"/>
              </w:rPr>
            </w:pPr>
            <w:r>
              <w:rPr>
                <w:rFonts w:ascii="Times New Roman" w:hAnsi="Times New Roman" w:eastAsia="宋体"/>
                <w:sz w:val="18"/>
                <w:szCs w:val="18"/>
              </w:rPr>
              <w:t>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0" w:hRule="atLeast"/>
          <w:jc w:val="right"/>
        </w:trPr>
        <w:tc>
          <w:tcPr>
            <w:tcW w:w="1887" w:type="dxa"/>
            <w:tcBorders>
              <w:top w:val="nil"/>
              <w:left w:val="single" w:color="auto" w:sz="4" w:space="0"/>
              <w:bottom w:val="single" w:color="auto" w:sz="4" w:space="0"/>
              <w:right w:val="single" w:color="auto" w:sz="4" w:space="0"/>
            </w:tcBorders>
            <w:vAlign w:val="center"/>
          </w:tcPr>
          <w:p>
            <w:pPr>
              <w:widowControl/>
              <w:spacing w:line="240" w:lineRule="auto"/>
              <w:jc w:val="left"/>
              <w:rPr>
                <w:rFonts w:ascii="Times New Roman" w:hAnsi="Times New Roman" w:eastAsia="宋体"/>
                <w:kern w:val="0"/>
                <w:sz w:val="18"/>
                <w:szCs w:val="18"/>
              </w:rPr>
            </w:pPr>
            <w:r>
              <w:rPr>
                <w:rFonts w:ascii="Times New Roman" w:hAnsi="Times New Roman" w:eastAsia="宋体"/>
                <w:kern w:val="0"/>
                <w:sz w:val="18"/>
                <w:szCs w:val="18"/>
              </w:rPr>
              <w:t>银行卡手续费</w:t>
            </w:r>
          </w:p>
        </w:tc>
        <w:tc>
          <w:tcPr>
            <w:tcW w:w="1095" w:type="dxa"/>
            <w:tcBorders>
              <w:top w:val="nil"/>
              <w:left w:val="nil"/>
              <w:bottom w:val="single" w:color="auto" w:sz="4" w:space="0"/>
              <w:right w:val="single" w:color="auto" w:sz="4" w:space="0"/>
            </w:tcBorders>
            <w:vAlign w:val="center"/>
          </w:tcPr>
          <w:p>
            <w:pPr>
              <w:spacing w:line="240" w:lineRule="auto"/>
              <w:jc w:val="right"/>
              <w:rPr>
                <w:rFonts w:ascii="Times New Roman" w:hAnsi="Times New Roman" w:eastAsia="宋体"/>
                <w:sz w:val="18"/>
                <w:szCs w:val="18"/>
              </w:rPr>
            </w:pPr>
            <w:r>
              <w:rPr>
                <w:rFonts w:ascii="Times New Roman" w:hAnsi="Times New Roman" w:eastAsia="宋体"/>
                <w:sz w:val="18"/>
                <w:szCs w:val="18"/>
              </w:rPr>
              <w:t>169</w:t>
            </w:r>
          </w:p>
        </w:tc>
        <w:tc>
          <w:tcPr>
            <w:tcW w:w="801" w:type="dxa"/>
            <w:tcBorders>
              <w:top w:val="nil"/>
              <w:left w:val="nil"/>
              <w:bottom w:val="single" w:color="auto" w:sz="4" w:space="0"/>
              <w:right w:val="single" w:color="auto" w:sz="4" w:space="0"/>
            </w:tcBorders>
            <w:vAlign w:val="center"/>
          </w:tcPr>
          <w:p>
            <w:pPr>
              <w:spacing w:line="240" w:lineRule="auto"/>
              <w:jc w:val="right"/>
              <w:rPr>
                <w:rFonts w:ascii="Times New Roman" w:hAnsi="Times New Roman" w:eastAsia="宋体"/>
                <w:sz w:val="18"/>
                <w:szCs w:val="18"/>
              </w:rPr>
            </w:pPr>
            <w:r>
              <w:rPr>
                <w:rFonts w:ascii="Times New Roman" w:hAnsi="Times New Roman" w:eastAsia="宋体"/>
                <w:sz w:val="18"/>
                <w:szCs w:val="18"/>
              </w:rPr>
              <w:t>616</w:t>
            </w:r>
          </w:p>
        </w:tc>
        <w:tc>
          <w:tcPr>
            <w:tcW w:w="905" w:type="dxa"/>
            <w:tcBorders>
              <w:top w:val="nil"/>
              <w:left w:val="nil"/>
              <w:bottom w:val="single" w:color="auto" w:sz="4" w:space="0"/>
              <w:right w:val="single" w:color="auto" w:sz="4" w:space="0"/>
            </w:tcBorders>
            <w:vAlign w:val="center"/>
          </w:tcPr>
          <w:p>
            <w:pPr>
              <w:spacing w:line="240" w:lineRule="auto"/>
              <w:jc w:val="right"/>
              <w:rPr>
                <w:rFonts w:ascii="Times New Roman" w:hAnsi="Times New Roman" w:eastAsia="宋体"/>
                <w:sz w:val="18"/>
                <w:szCs w:val="18"/>
              </w:rPr>
            </w:pPr>
            <w:r>
              <w:rPr>
                <w:rFonts w:ascii="Times New Roman" w:hAnsi="Times New Roman" w:eastAsia="宋体"/>
                <w:sz w:val="18"/>
                <w:szCs w:val="18"/>
              </w:rPr>
              <w:t>1,078</w:t>
            </w:r>
          </w:p>
        </w:tc>
        <w:tc>
          <w:tcPr>
            <w:tcW w:w="905" w:type="dxa"/>
            <w:tcBorders>
              <w:top w:val="nil"/>
              <w:left w:val="nil"/>
              <w:bottom w:val="single" w:color="auto" w:sz="4" w:space="0"/>
              <w:right w:val="single" w:color="auto" w:sz="4" w:space="0"/>
            </w:tcBorders>
            <w:vAlign w:val="center"/>
          </w:tcPr>
          <w:p>
            <w:pPr>
              <w:spacing w:line="240" w:lineRule="auto"/>
              <w:jc w:val="right"/>
              <w:rPr>
                <w:rFonts w:ascii="Times New Roman" w:hAnsi="Times New Roman" w:eastAsia="宋体"/>
                <w:sz w:val="18"/>
                <w:szCs w:val="18"/>
              </w:rPr>
            </w:pPr>
            <w:r>
              <w:rPr>
                <w:rFonts w:ascii="Times New Roman" w:hAnsi="Times New Roman" w:eastAsia="宋体"/>
                <w:sz w:val="18"/>
                <w:szCs w:val="18"/>
              </w:rPr>
              <w:t>1,725</w:t>
            </w:r>
          </w:p>
        </w:tc>
        <w:tc>
          <w:tcPr>
            <w:tcW w:w="905" w:type="dxa"/>
            <w:tcBorders>
              <w:top w:val="nil"/>
              <w:left w:val="nil"/>
              <w:bottom w:val="single" w:color="auto" w:sz="4" w:space="0"/>
              <w:right w:val="single" w:color="auto" w:sz="4" w:space="0"/>
            </w:tcBorders>
            <w:vAlign w:val="center"/>
          </w:tcPr>
          <w:p>
            <w:pPr>
              <w:spacing w:line="240" w:lineRule="auto"/>
              <w:jc w:val="right"/>
              <w:rPr>
                <w:rFonts w:ascii="Times New Roman" w:hAnsi="Times New Roman" w:eastAsia="宋体"/>
                <w:sz w:val="18"/>
                <w:szCs w:val="18"/>
              </w:rPr>
            </w:pPr>
            <w:r>
              <w:rPr>
                <w:rFonts w:ascii="Times New Roman" w:hAnsi="Times New Roman" w:eastAsia="宋体"/>
                <w:sz w:val="18"/>
                <w:szCs w:val="18"/>
              </w:rPr>
              <w:t>2,406</w:t>
            </w:r>
          </w:p>
        </w:tc>
        <w:tc>
          <w:tcPr>
            <w:tcW w:w="905" w:type="dxa"/>
            <w:tcBorders>
              <w:top w:val="nil"/>
              <w:left w:val="nil"/>
              <w:bottom w:val="single" w:color="auto" w:sz="4" w:space="0"/>
              <w:right w:val="single" w:color="auto" w:sz="4" w:space="0"/>
            </w:tcBorders>
            <w:vAlign w:val="center"/>
          </w:tcPr>
          <w:p>
            <w:pPr>
              <w:spacing w:line="240" w:lineRule="auto"/>
              <w:jc w:val="right"/>
              <w:rPr>
                <w:rFonts w:ascii="Times New Roman" w:hAnsi="Times New Roman" w:eastAsia="宋体"/>
                <w:sz w:val="18"/>
                <w:szCs w:val="18"/>
              </w:rPr>
            </w:pPr>
            <w:r>
              <w:rPr>
                <w:rFonts w:ascii="Times New Roman" w:hAnsi="Times New Roman" w:eastAsia="宋体"/>
                <w:sz w:val="18"/>
                <w:szCs w:val="18"/>
              </w:rPr>
              <w:t>3,272</w:t>
            </w:r>
          </w:p>
        </w:tc>
        <w:tc>
          <w:tcPr>
            <w:tcW w:w="905" w:type="dxa"/>
            <w:tcBorders>
              <w:top w:val="nil"/>
              <w:left w:val="nil"/>
              <w:bottom w:val="single" w:color="auto" w:sz="4" w:space="0"/>
              <w:right w:val="single" w:color="auto" w:sz="4" w:space="0"/>
            </w:tcBorders>
            <w:vAlign w:val="center"/>
          </w:tcPr>
          <w:p>
            <w:pPr>
              <w:spacing w:line="240" w:lineRule="auto"/>
              <w:jc w:val="right"/>
              <w:rPr>
                <w:rFonts w:ascii="Times New Roman" w:hAnsi="Times New Roman" w:eastAsia="宋体"/>
                <w:sz w:val="18"/>
                <w:szCs w:val="18"/>
              </w:rPr>
            </w:pPr>
            <w:r>
              <w:rPr>
                <w:rFonts w:ascii="Times New Roman" w:hAnsi="Times New Roman" w:eastAsia="宋体"/>
                <w:sz w:val="18"/>
                <w:szCs w:val="18"/>
              </w:rPr>
              <w:t>4,418</w:t>
            </w:r>
          </w:p>
        </w:tc>
        <w:tc>
          <w:tcPr>
            <w:tcW w:w="854" w:type="dxa"/>
            <w:tcBorders>
              <w:top w:val="nil"/>
              <w:left w:val="nil"/>
              <w:bottom w:val="single" w:color="auto" w:sz="4" w:space="0"/>
              <w:right w:val="single" w:color="auto" w:sz="4" w:space="0"/>
            </w:tcBorders>
            <w:vAlign w:val="center"/>
          </w:tcPr>
          <w:p>
            <w:pPr>
              <w:spacing w:line="240" w:lineRule="auto"/>
              <w:jc w:val="right"/>
              <w:rPr>
                <w:rFonts w:ascii="Times New Roman" w:hAnsi="Times New Roman" w:eastAsia="宋体"/>
                <w:sz w:val="18"/>
                <w:szCs w:val="18"/>
              </w:rPr>
            </w:pPr>
            <w:r>
              <w:rPr>
                <w:rFonts w:ascii="Times New Roman" w:hAnsi="Times New Roman" w:eastAsia="宋体"/>
                <w:sz w:val="18"/>
                <w:szCs w:val="18"/>
              </w:rPr>
              <w:t>5,893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0" w:hRule="atLeast"/>
          <w:jc w:val="right"/>
        </w:trPr>
        <w:tc>
          <w:tcPr>
            <w:tcW w:w="1887" w:type="dxa"/>
            <w:tcBorders>
              <w:top w:val="nil"/>
              <w:left w:val="single" w:color="auto" w:sz="4" w:space="0"/>
              <w:bottom w:val="single" w:color="auto" w:sz="4" w:space="0"/>
              <w:right w:val="single" w:color="auto" w:sz="4" w:space="0"/>
            </w:tcBorders>
            <w:vAlign w:val="center"/>
          </w:tcPr>
          <w:p>
            <w:pPr>
              <w:widowControl/>
              <w:spacing w:line="240" w:lineRule="auto"/>
              <w:jc w:val="left"/>
              <w:rPr>
                <w:rFonts w:ascii="Times New Roman" w:hAnsi="Times New Roman" w:eastAsia="宋体"/>
                <w:kern w:val="0"/>
                <w:sz w:val="18"/>
                <w:szCs w:val="18"/>
              </w:rPr>
            </w:pPr>
            <w:r>
              <w:rPr>
                <w:rFonts w:ascii="Times New Roman" w:hAnsi="Times New Roman" w:eastAsia="宋体"/>
                <w:kern w:val="0"/>
                <w:sz w:val="18"/>
                <w:szCs w:val="18"/>
              </w:rPr>
              <w:t>托管及其他受托业务佣金</w:t>
            </w:r>
          </w:p>
        </w:tc>
        <w:tc>
          <w:tcPr>
            <w:tcW w:w="1095" w:type="dxa"/>
            <w:tcBorders>
              <w:top w:val="nil"/>
              <w:left w:val="nil"/>
              <w:bottom w:val="single" w:color="auto" w:sz="4" w:space="0"/>
              <w:right w:val="single" w:color="auto" w:sz="4" w:space="0"/>
            </w:tcBorders>
            <w:vAlign w:val="center"/>
          </w:tcPr>
          <w:p>
            <w:pPr>
              <w:spacing w:line="240" w:lineRule="auto"/>
              <w:jc w:val="right"/>
              <w:rPr>
                <w:rFonts w:ascii="Times New Roman" w:hAnsi="Times New Roman" w:eastAsia="宋体"/>
                <w:sz w:val="18"/>
                <w:szCs w:val="18"/>
              </w:rPr>
            </w:pPr>
            <w:r>
              <w:rPr>
                <w:rFonts w:ascii="Times New Roman" w:hAnsi="Times New Roman" w:eastAsia="宋体"/>
                <w:sz w:val="18"/>
                <w:szCs w:val="18"/>
              </w:rPr>
              <w:t>84</w:t>
            </w:r>
          </w:p>
        </w:tc>
        <w:tc>
          <w:tcPr>
            <w:tcW w:w="801" w:type="dxa"/>
            <w:tcBorders>
              <w:top w:val="nil"/>
              <w:left w:val="nil"/>
              <w:bottom w:val="single" w:color="auto" w:sz="4" w:space="0"/>
              <w:right w:val="single" w:color="auto" w:sz="4" w:space="0"/>
            </w:tcBorders>
            <w:vAlign w:val="center"/>
          </w:tcPr>
          <w:p>
            <w:pPr>
              <w:spacing w:line="240" w:lineRule="auto"/>
              <w:jc w:val="right"/>
              <w:rPr>
                <w:rFonts w:ascii="Times New Roman" w:hAnsi="Times New Roman" w:eastAsia="宋体"/>
                <w:sz w:val="18"/>
                <w:szCs w:val="18"/>
              </w:rPr>
            </w:pPr>
            <w:r>
              <w:rPr>
                <w:rFonts w:ascii="Times New Roman" w:hAnsi="Times New Roman" w:eastAsia="宋体"/>
                <w:sz w:val="18"/>
                <w:szCs w:val="18"/>
              </w:rPr>
              <w:t>227</w:t>
            </w:r>
          </w:p>
        </w:tc>
        <w:tc>
          <w:tcPr>
            <w:tcW w:w="905" w:type="dxa"/>
            <w:tcBorders>
              <w:top w:val="nil"/>
              <w:left w:val="nil"/>
              <w:bottom w:val="single" w:color="auto" w:sz="4" w:space="0"/>
              <w:right w:val="single" w:color="auto" w:sz="4" w:space="0"/>
            </w:tcBorders>
            <w:vAlign w:val="center"/>
          </w:tcPr>
          <w:p>
            <w:pPr>
              <w:spacing w:line="240" w:lineRule="auto"/>
              <w:jc w:val="right"/>
              <w:rPr>
                <w:rFonts w:ascii="Times New Roman" w:hAnsi="Times New Roman" w:eastAsia="宋体"/>
                <w:sz w:val="18"/>
                <w:szCs w:val="18"/>
              </w:rPr>
            </w:pPr>
            <w:r>
              <w:rPr>
                <w:rFonts w:ascii="Times New Roman" w:hAnsi="Times New Roman" w:eastAsia="宋体"/>
                <w:sz w:val="18"/>
                <w:szCs w:val="18"/>
              </w:rPr>
              <w:t>431</w:t>
            </w:r>
          </w:p>
        </w:tc>
        <w:tc>
          <w:tcPr>
            <w:tcW w:w="905" w:type="dxa"/>
            <w:tcBorders>
              <w:top w:val="nil"/>
              <w:left w:val="nil"/>
              <w:bottom w:val="single" w:color="auto" w:sz="4" w:space="0"/>
              <w:right w:val="single" w:color="auto" w:sz="4" w:space="0"/>
            </w:tcBorders>
            <w:vAlign w:val="center"/>
          </w:tcPr>
          <w:p>
            <w:pPr>
              <w:spacing w:line="240" w:lineRule="auto"/>
              <w:jc w:val="right"/>
              <w:rPr>
                <w:rFonts w:ascii="Times New Roman" w:hAnsi="Times New Roman" w:eastAsia="宋体"/>
                <w:sz w:val="18"/>
                <w:szCs w:val="18"/>
              </w:rPr>
            </w:pPr>
            <w:r>
              <w:rPr>
                <w:rFonts w:ascii="Times New Roman" w:hAnsi="Times New Roman" w:eastAsia="宋体"/>
                <w:sz w:val="18"/>
                <w:szCs w:val="18"/>
              </w:rPr>
              <w:t>712</w:t>
            </w:r>
          </w:p>
        </w:tc>
        <w:tc>
          <w:tcPr>
            <w:tcW w:w="905" w:type="dxa"/>
            <w:tcBorders>
              <w:top w:val="nil"/>
              <w:left w:val="nil"/>
              <w:bottom w:val="single" w:color="auto" w:sz="4" w:space="0"/>
              <w:right w:val="single" w:color="auto" w:sz="4" w:space="0"/>
            </w:tcBorders>
            <w:vAlign w:val="center"/>
          </w:tcPr>
          <w:p>
            <w:pPr>
              <w:spacing w:line="240" w:lineRule="auto"/>
              <w:jc w:val="right"/>
              <w:rPr>
                <w:rFonts w:ascii="Times New Roman" w:hAnsi="Times New Roman" w:eastAsia="宋体"/>
                <w:sz w:val="18"/>
                <w:szCs w:val="18"/>
              </w:rPr>
            </w:pPr>
            <w:r>
              <w:rPr>
                <w:rFonts w:ascii="Times New Roman" w:hAnsi="Times New Roman" w:eastAsia="宋体"/>
                <w:sz w:val="18"/>
                <w:szCs w:val="18"/>
              </w:rPr>
              <w:t>968</w:t>
            </w:r>
          </w:p>
        </w:tc>
        <w:tc>
          <w:tcPr>
            <w:tcW w:w="905" w:type="dxa"/>
            <w:tcBorders>
              <w:top w:val="nil"/>
              <w:left w:val="nil"/>
              <w:bottom w:val="single" w:color="auto" w:sz="4" w:space="0"/>
              <w:right w:val="single" w:color="auto" w:sz="4" w:space="0"/>
            </w:tcBorders>
            <w:vAlign w:val="center"/>
          </w:tcPr>
          <w:p>
            <w:pPr>
              <w:spacing w:line="240" w:lineRule="auto"/>
              <w:jc w:val="right"/>
              <w:rPr>
                <w:rFonts w:ascii="Times New Roman" w:hAnsi="Times New Roman" w:eastAsia="宋体"/>
                <w:sz w:val="18"/>
                <w:szCs w:val="18"/>
              </w:rPr>
            </w:pPr>
            <w:r>
              <w:rPr>
                <w:rFonts w:ascii="Times New Roman" w:hAnsi="Times New Roman" w:eastAsia="宋体"/>
                <w:sz w:val="18"/>
                <w:szCs w:val="18"/>
              </w:rPr>
              <w:t>1,258</w:t>
            </w:r>
          </w:p>
        </w:tc>
        <w:tc>
          <w:tcPr>
            <w:tcW w:w="905" w:type="dxa"/>
            <w:tcBorders>
              <w:top w:val="nil"/>
              <w:left w:val="nil"/>
              <w:bottom w:val="single" w:color="auto" w:sz="4" w:space="0"/>
              <w:right w:val="single" w:color="auto" w:sz="4" w:space="0"/>
            </w:tcBorders>
            <w:vAlign w:val="center"/>
          </w:tcPr>
          <w:p>
            <w:pPr>
              <w:spacing w:line="240" w:lineRule="auto"/>
              <w:jc w:val="right"/>
              <w:rPr>
                <w:rFonts w:ascii="Times New Roman" w:hAnsi="Times New Roman" w:eastAsia="宋体"/>
                <w:sz w:val="18"/>
                <w:szCs w:val="18"/>
              </w:rPr>
            </w:pPr>
            <w:r>
              <w:rPr>
                <w:rFonts w:ascii="Times New Roman" w:hAnsi="Times New Roman" w:eastAsia="宋体"/>
                <w:sz w:val="18"/>
                <w:szCs w:val="18"/>
              </w:rPr>
              <w:t>1,616</w:t>
            </w:r>
          </w:p>
        </w:tc>
        <w:tc>
          <w:tcPr>
            <w:tcW w:w="854" w:type="dxa"/>
            <w:tcBorders>
              <w:top w:val="nil"/>
              <w:left w:val="nil"/>
              <w:bottom w:val="single" w:color="auto" w:sz="4" w:space="0"/>
              <w:right w:val="single" w:color="auto" w:sz="4" w:space="0"/>
            </w:tcBorders>
            <w:vAlign w:val="center"/>
          </w:tcPr>
          <w:p>
            <w:pPr>
              <w:spacing w:line="240" w:lineRule="auto"/>
              <w:jc w:val="right"/>
              <w:rPr>
                <w:rFonts w:ascii="Times New Roman" w:hAnsi="Times New Roman" w:eastAsia="宋体"/>
                <w:sz w:val="18"/>
                <w:szCs w:val="18"/>
              </w:rPr>
            </w:pPr>
            <w:r>
              <w:rPr>
                <w:rFonts w:ascii="Times New Roman" w:hAnsi="Times New Roman" w:eastAsia="宋体"/>
                <w:sz w:val="18"/>
                <w:szCs w:val="18"/>
              </w:rPr>
              <w:t>2,036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0" w:hRule="atLeast"/>
          <w:jc w:val="right"/>
        </w:trPr>
        <w:tc>
          <w:tcPr>
            <w:tcW w:w="1887" w:type="dxa"/>
            <w:tcBorders>
              <w:top w:val="nil"/>
              <w:left w:val="single" w:color="auto" w:sz="4" w:space="0"/>
              <w:bottom w:val="single" w:color="auto" w:sz="4" w:space="0"/>
              <w:right w:val="single" w:color="auto" w:sz="4" w:space="0"/>
            </w:tcBorders>
            <w:vAlign w:val="center"/>
          </w:tcPr>
          <w:p>
            <w:pPr>
              <w:widowControl/>
              <w:spacing w:line="240" w:lineRule="auto"/>
              <w:jc w:val="left"/>
              <w:rPr>
                <w:rFonts w:ascii="Times New Roman" w:hAnsi="Times New Roman" w:eastAsia="宋体"/>
                <w:kern w:val="0"/>
                <w:sz w:val="18"/>
                <w:szCs w:val="18"/>
              </w:rPr>
            </w:pPr>
            <w:r>
              <w:rPr>
                <w:rFonts w:ascii="Times New Roman" w:hAnsi="Times New Roman" w:eastAsia="宋体"/>
                <w:kern w:val="0"/>
                <w:sz w:val="18"/>
                <w:szCs w:val="18"/>
              </w:rPr>
              <w:t>其他</w:t>
            </w:r>
          </w:p>
        </w:tc>
        <w:tc>
          <w:tcPr>
            <w:tcW w:w="1095" w:type="dxa"/>
            <w:tcBorders>
              <w:top w:val="nil"/>
              <w:left w:val="nil"/>
              <w:bottom w:val="single" w:color="auto" w:sz="4" w:space="0"/>
              <w:right w:val="single" w:color="auto" w:sz="4" w:space="0"/>
            </w:tcBorders>
            <w:vAlign w:val="center"/>
          </w:tcPr>
          <w:p>
            <w:pPr>
              <w:spacing w:line="240" w:lineRule="auto"/>
              <w:jc w:val="right"/>
              <w:rPr>
                <w:rFonts w:ascii="Times New Roman" w:hAnsi="Times New Roman" w:eastAsia="宋体"/>
                <w:sz w:val="18"/>
                <w:szCs w:val="18"/>
              </w:rPr>
            </w:pPr>
            <w:r>
              <w:rPr>
                <w:rFonts w:ascii="Times New Roman" w:hAnsi="Times New Roman" w:eastAsia="宋体"/>
                <w:sz w:val="18"/>
                <w:szCs w:val="18"/>
              </w:rPr>
              <w:t>28</w:t>
            </w:r>
          </w:p>
        </w:tc>
        <w:tc>
          <w:tcPr>
            <w:tcW w:w="801" w:type="dxa"/>
            <w:tcBorders>
              <w:top w:val="nil"/>
              <w:left w:val="nil"/>
              <w:bottom w:val="single" w:color="auto" w:sz="4" w:space="0"/>
              <w:right w:val="single" w:color="auto" w:sz="4" w:space="0"/>
            </w:tcBorders>
            <w:vAlign w:val="center"/>
          </w:tcPr>
          <w:p>
            <w:pPr>
              <w:spacing w:line="240" w:lineRule="auto"/>
              <w:jc w:val="right"/>
              <w:rPr>
                <w:rFonts w:ascii="Times New Roman" w:hAnsi="Times New Roman" w:eastAsia="宋体"/>
                <w:sz w:val="18"/>
                <w:szCs w:val="18"/>
              </w:rPr>
            </w:pPr>
            <w:r>
              <w:rPr>
                <w:rFonts w:ascii="Times New Roman" w:hAnsi="Times New Roman" w:eastAsia="宋体"/>
                <w:sz w:val="18"/>
                <w:szCs w:val="18"/>
              </w:rPr>
              <w:t>160</w:t>
            </w:r>
          </w:p>
        </w:tc>
        <w:tc>
          <w:tcPr>
            <w:tcW w:w="905" w:type="dxa"/>
            <w:tcBorders>
              <w:top w:val="nil"/>
              <w:left w:val="nil"/>
              <w:bottom w:val="single" w:color="auto" w:sz="4" w:space="0"/>
              <w:right w:val="single" w:color="auto" w:sz="4" w:space="0"/>
            </w:tcBorders>
            <w:vAlign w:val="center"/>
          </w:tcPr>
          <w:p>
            <w:pPr>
              <w:spacing w:line="240" w:lineRule="auto"/>
              <w:jc w:val="right"/>
              <w:rPr>
                <w:rFonts w:ascii="Times New Roman" w:hAnsi="Times New Roman" w:eastAsia="宋体"/>
                <w:sz w:val="18"/>
                <w:szCs w:val="18"/>
              </w:rPr>
            </w:pPr>
            <w:r>
              <w:rPr>
                <w:rFonts w:ascii="Times New Roman" w:hAnsi="Times New Roman" w:eastAsia="宋体"/>
                <w:sz w:val="18"/>
                <w:szCs w:val="18"/>
              </w:rPr>
              <w:t>213</w:t>
            </w:r>
          </w:p>
        </w:tc>
        <w:tc>
          <w:tcPr>
            <w:tcW w:w="905" w:type="dxa"/>
            <w:tcBorders>
              <w:top w:val="nil"/>
              <w:left w:val="nil"/>
              <w:bottom w:val="single" w:color="auto" w:sz="4" w:space="0"/>
              <w:right w:val="single" w:color="auto" w:sz="4" w:space="0"/>
            </w:tcBorders>
            <w:vAlign w:val="center"/>
          </w:tcPr>
          <w:p>
            <w:pPr>
              <w:spacing w:line="240" w:lineRule="auto"/>
              <w:jc w:val="right"/>
              <w:rPr>
                <w:rFonts w:ascii="Times New Roman" w:hAnsi="Times New Roman" w:eastAsia="宋体"/>
                <w:sz w:val="18"/>
                <w:szCs w:val="18"/>
              </w:rPr>
            </w:pPr>
            <w:r>
              <w:rPr>
                <w:rFonts w:ascii="Times New Roman" w:hAnsi="Times New Roman" w:eastAsia="宋体"/>
                <w:sz w:val="18"/>
                <w:szCs w:val="18"/>
              </w:rPr>
              <w:t>266</w:t>
            </w:r>
          </w:p>
        </w:tc>
        <w:tc>
          <w:tcPr>
            <w:tcW w:w="905" w:type="dxa"/>
            <w:tcBorders>
              <w:top w:val="nil"/>
              <w:left w:val="nil"/>
              <w:bottom w:val="single" w:color="auto" w:sz="4" w:space="0"/>
              <w:right w:val="single" w:color="auto" w:sz="4" w:space="0"/>
            </w:tcBorders>
            <w:vAlign w:val="center"/>
          </w:tcPr>
          <w:p>
            <w:pPr>
              <w:spacing w:line="240" w:lineRule="auto"/>
              <w:jc w:val="right"/>
              <w:rPr>
                <w:rFonts w:ascii="Times New Roman" w:hAnsi="Times New Roman" w:eastAsia="宋体"/>
                <w:sz w:val="18"/>
                <w:szCs w:val="18"/>
              </w:rPr>
            </w:pPr>
            <w:r>
              <w:rPr>
                <w:rFonts w:ascii="Times New Roman" w:hAnsi="Times New Roman" w:eastAsia="宋体"/>
                <w:sz w:val="18"/>
                <w:szCs w:val="18"/>
              </w:rPr>
              <w:t>314</w:t>
            </w:r>
          </w:p>
        </w:tc>
        <w:tc>
          <w:tcPr>
            <w:tcW w:w="905" w:type="dxa"/>
            <w:tcBorders>
              <w:top w:val="nil"/>
              <w:left w:val="nil"/>
              <w:bottom w:val="single" w:color="auto" w:sz="4" w:space="0"/>
              <w:right w:val="single" w:color="auto" w:sz="4" w:space="0"/>
            </w:tcBorders>
            <w:vAlign w:val="center"/>
          </w:tcPr>
          <w:p>
            <w:pPr>
              <w:spacing w:line="240" w:lineRule="auto"/>
              <w:jc w:val="right"/>
              <w:rPr>
                <w:rFonts w:ascii="Times New Roman" w:hAnsi="Times New Roman" w:eastAsia="宋体"/>
                <w:sz w:val="18"/>
                <w:szCs w:val="18"/>
              </w:rPr>
            </w:pPr>
            <w:r>
              <w:rPr>
                <w:rFonts w:ascii="Times New Roman" w:hAnsi="Times New Roman" w:eastAsia="宋体"/>
                <w:sz w:val="18"/>
                <w:szCs w:val="18"/>
              </w:rPr>
              <w:t>364</w:t>
            </w:r>
          </w:p>
        </w:tc>
        <w:tc>
          <w:tcPr>
            <w:tcW w:w="905" w:type="dxa"/>
            <w:tcBorders>
              <w:top w:val="nil"/>
              <w:left w:val="nil"/>
              <w:bottom w:val="single" w:color="auto" w:sz="4" w:space="0"/>
              <w:right w:val="single" w:color="auto" w:sz="4" w:space="0"/>
            </w:tcBorders>
            <w:vAlign w:val="center"/>
          </w:tcPr>
          <w:p>
            <w:pPr>
              <w:spacing w:line="240" w:lineRule="auto"/>
              <w:jc w:val="right"/>
              <w:rPr>
                <w:rFonts w:ascii="Times New Roman" w:hAnsi="Times New Roman" w:eastAsia="宋体"/>
                <w:sz w:val="18"/>
                <w:szCs w:val="18"/>
              </w:rPr>
            </w:pPr>
            <w:r>
              <w:rPr>
                <w:rFonts w:ascii="Times New Roman" w:hAnsi="Times New Roman" w:eastAsia="宋体"/>
                <w:sz w:val="18"/>
                <w:szCs w:val="18"/>
              </w:rPr>
              <w:t>419</w:t>
            </w:r>
          </w:p>
        </w:tc>
        <w:tc>
          <w:tcPr>
            <w:tcW w:w="854" w:type="dxa"/>
            <w:tcBorders>
              <w:top w:val="nil"/>
              <w:left w:val="nil"/>
              <w:bottom w:val="single" w:color="auto" w:sz="4" w:space="0"/>
              <w:right w:val="single" w:color="auto" w:sz="4" w:space="0"/>
            </w:tcBorders>
            <w:vAlign w:val="center"/>
          </w:tcPr>
          <w:p>
            <w:pPr>
              <w:spacing w:line="240" w:lineRule="auto"/>
              <w:jc w:val="right"/>
              <w:rPr>
                <w:rFonts w:ascii="Times New Roman" w:hAnsi="Times New Roman" w:eastAsia="宋体"/>
                <w:sz w:val="18"/>
                <w:szCs w:val="18"/>
              </w:rPr>
            </w:pPr>
            <w:r>
              <w:rPr>
                <w:rFonts w:ascii="Times New Roman" w:hAnsi="Times New Roman" w:eastAsia="宋体"/>
                <w:sz w:val="18"/>
                <w:szCs w:val="18"/>
              </w:rPr>
              <w:t>477</w:t>
            </w:r>
          </w:p>
        </w:tc>
      </w:tr>
    </w:tbl>
    <w:p>
      <w:pPr>
        <w:spacing w:line="360" w:lineRule="auto"/>
        <w:rPr>
          <w:rFonts w:ascii="Times New Roman" w:hAnsi="Times New Roman"/>
          <w:sz w:val="32"/>
          <w:szCs w:val="32"/>
        </w:rPr>
      </w:pPr>
    </w:p>
    <w:p>
      <w:pPr>
        <w:widowControl/>
        <w:spacing w:line="240" w:lineRule="auto"/>
        <w:jc w:val="left"/>
        <w:rPr>
          <w:rFonts w:ascii="Times New Roman" w:hAnsi="Times New Roman"/>
          <w:sz w:val="32"/>
          <w:szCs w:val="32"/>
        </w:rPr>
      </w:pPr>
    </w:p>
    <w:p>
      <w:pPr>
        <w:spacing w:line="360" w:lineRule="auto"/>
        <w:ind w:firstLine="638" w:firstLineChars="200"/>
        <w:outlineLvl w:val="0"/>
        <w:rPr>
          <w:rFonts w:ascii="Times New Roman" w:hAnsi="Times New Roman"/>
          <w:b/>
          <w:spacing w:val="-1"/>
          <w:sz w:val="32"/>
          <w:szCs w:val="32"/>
          <w:lang w:val="zh-TW" w:eastAsia="zh-TW"/>
        </w:rPr>
      </w:pPr>
      <w:r>
        <w:rPr>
          <w:rFonts w:ascii="Times New Roman" w:hAnsi="Times New Roman"/>
          <w:b/>
          <w:spacing w:val="-1"/>
          <w:sz w:val="32"/>
          <w:szCs w:val="32"/>
          <w:lang w:val="zh-TW" w:eastAsia="zh-TW"/>
        </w:rPr>
        <w:t>案例</w:t>
      </w:r>
      <w:r>
        <w:rPr>
          <w:rFonts w:ascii="Times New Roman" w:hAnsi="Times New Roman"/>
          <w:b/>
          <w:spacing w:val="-1"/>
          <w:sz w:val="32"/>
          <w:szCs w:val="32"/>
          <w:lang w:val="zh-TW"/>
        </w:rPr>
        <w:t>四</w:t>
      </w:r>
      <w:r>
        <w:rPr>
          <w:rFonts w:ascii="Times New Roman" w:hAnsi="Times New Roman"/>
          <w:b/>
          <w:spacing w:val="-1"/>
          <w:sz w:val="32"/>
          <w:szCs w:val="32"/>
          <w:lang w:val="zh-TW" w:eastAsia="zh-TW"/>
        </w:rPr>
        <w:t>：证券公司的手续费收入预测</w:t>
      </w:r>
    </w:p>
    <w:p>
      <w:pPr>
        <w:spacing w:line="360" w:lineRule="auto"/>
        <w:ind w:firstLine="561" w:firstLineChars="192"/>
        <w:rPr>
          <w:rFonts w:ascii="Times New Roman" w:hAnsi="Times New Roman"/>
          <w:sz w:val="28"/>
        </w:rPr>
      </w:pPr>
      <w:r>
        <w:rPr>
          <w:rFonts w:ascii="Times New Roman" w:hAnsi="Times New Roman"/>
          <w:sz w:val="28"/>
        </w:rPr>
        <w:t>手续费及佣金净收入＝手续费及佣金收入－手续费及佣金支出。</w:t>
      </w:r>
    </w:p>
    <w:p>
      <w:pPr>
        <w:spacing w:line="360" w:lineRule="auto"/>
        <w:ind w:firstLine="561" w:firstLineChars="192"/>
        <w:rPr>
          <w:rFonts w:ascii="Times New Roman" w:hAnsi="Times New Roman"/>
          <w:sz w:val="28"/>
        </w:rPr>
      </w:pPr>
      <w:r>
        <w:rPr>
          <w:rFonts w:ascii="Times New Roman" w:hAnsi="Times New Roman"/>
          <w:sz w:val="28"/>
        </w:rPr>
        <w:t>手续费及佣金收入＝市场成交额×2×市场份额×平均佣金率</w:t>
      </w:r>
    </w:p>
    <w:p>
      <w:pPr>
        <w:spacing w:line="360" w:lineRule="auto"/>
        <w:ind w:firstLine="584" w:firstLineChars="200"/>
        <w:rPr>
          <w:rFonts w:ascii="Times New Roman" w:hAnsi="Times New Roman"/>
          <w:sz w:val="28"/>
        </w:rPr>
      </w:pPr>
      <w:r>
        <w:rPr>
          <w:rFonts w:ascii="Times New Roman" w:hAnsi="Times New Roman"/>
          <w:sz w:val="28"/>
        </w:rPr>
        <w:t>手续费及佣金支出＝代理买卖证券业务的收入×代理买卖证券的平均费用比率</w:t>
      </w:r>
    </w:p>
    <w:p>
      <w:pPr>
        <w:spacing w:line="360" w:lineRule="auto"/>
        <w:ind w:firstLine="584" w:firstLineChars="200"/>
        <w:rPr>
          <w:rFonts w:ascii="Times New Roman" w:hAnsi="Times New Roman"/>
          <w:sz w:val="28"/>
        </w:rPr>
      </w:pPr>
      <w:r>
        <w:rPr>
          <w:rFonts w:hint="eastAsia" w:ascii="Times New Roman" w:hAnsi="Times New Roman"/>
          <w:sz w:val="28"/>
        </w:rPr>
        <w:t>1、</w:t>
      </w:r>
      <w:r>
        <w:rPr>
          <w:rFonts w:ascii="Times New Roman" w:hAnsi="Times New Roman"/>
          <w:sz w:val="28"/>
        </w:rPr>
        <w:t>市场成交额预测</w:t>
      </w:r>
    </w:p>
    <w:p>
      <w:pPr>
        <w:spacing w:line="360" w:lineRule="auto"/>
        <w:ind w:firstLine="584" w:firstLineChars="200"/>
        <w:rPr>
          <w:rFonts w:ascii="Times New Roman" w:hAnsi="Times New Roman"/>
          <w:sz w:val="28"/>
        </w:rPr>
      </w:pPr>
      <w:r>
        <w:rPr>
          <w:rFonts w:ascii="Times New Roman" w:hAnsi="Times New Roman"/>
          <w:sz w:val="28"/>
        </w:rPr>
        <w:t>成交额是反映证券市场运行情况的重要参数之一，从我国证券行业发展的历史轨迹来看，证券交易的活跃程度与证券指数呈正相关，但更主要与市场股权结构、流通股票容量以及资金供求相关联。</w:t>
      </w:r>
    </w:p>
    <w:p>
      <w:pPr>
        <w:spacing w:line="360" w:lineRule="auto"/>
        <w:jc w:val="center"/>
        <w:rPr>
          <w:rFonts w:ascii="Times New Roman" w:hAnsi="Times New Roman" w:eastAsia="黑体"/>
          <w:sz w:val="24"/>
        </w:rPr>
      </w:pPr>
      <w:r>
        <w:rPr>
          <w:rFonts w:ascii="Times New Roman" w:hAnsi="Times New Roman" w:eastAsia="黑体"/>
          <w:sz w:val="24"/>
        </w:rPr>
        <w:t>A股市场单边交易额统计表</w:t>
      </w:r>
    </w:p>
    <w:p>
      <w:pPr>
        <w:spacing w:line="360" w:lineRule="auto"/>
        <w:ind w:firstLine="444" w:firstLineChars="200"/>
        <w:jc w:val="right"/>
        <w:rPr>
          <w:rFonts w:ascii="仿宋_GB2312" w:hAnsi="Times New Roman"/>
          <w:sz w:val="21"/>
          <w:szCs w:val="21"/>
        </w:rPr>
      </w:pPr>
      <w:r>
        <w:rPr>
          <w:rFonts w:hint="eastAsia" w:ascii="仿宋_GB2312" w:hAnsi="Times New Roman"/>
          <w:sz w:val="21"/>
          <w:szCs w:val="21"/>
        </w:rPr>
        <w:t>金额单位：人民币万元</w:t>
      </w:r>
    </w:p>
    <w:tbl>
      <w:tblPr>
        <w:tblStyle w:val="27"/>
        <w:tblW w:w="91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240"/>
        <w:gridCol w:w="2056"/>
        <w:gridCol w:w="2056"/>
        <w:gridCol w:w="18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24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Times New Roman" w:hAnsi="Times New Roman" w:eastAsia="宋体"/>
                <w:kern w:val="0"/>
                <w:sz w:val="18"/>
                <w:szCs w:val="18"/>
              </w:rPr>
            </w:pPr>
            <w:r>
              <w:rPr>
                <w:rFonts w:ascii="Times New Roman" w:hAnsi="宋体" w:eastAsia="宋体"/>
                <w:kern w:val="0"/>
                <w:sz w:val="18"/>
                <w:szCs w:val="18"/>
              </w:rPr>
              <w:t>项目</w:t>
            </w:r>
          </w:p>
        </w:tc>
        <w:tc>
          <w:tcPr>
            <w:tcW w:w="2056"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Times New Roman" w:hAnsi="Times New Roman" w:eastAsia="宋体"/>
                <w:kern w:val="0"/>
                <w:sz w:val="18"/>
                <w:szCs w:val="18"/>
              </w:rPr>
            </w:pPr>
            <w:r>
              <w:rPr>
                <w:rFonts w:ascii="Times New Roman" w:hAnsi="Times New Roman" w:eastAsia="宋体"/>
                <w:kern w:val="0"/>
                <w:sz w:val="18"/>
                <w:szCs w:val="18"/>
              </w:rPr>
              <w:t>20</w:t>
            </w:r>
            <w:r>
              <w:rPr>
                <w:rFonts w:hint="eastAsia" w:ascii="Times New Roman" w:hAnsi="Times New Roman" w:eastAsia="宋体"/>
                <w:kern w:val="0"/>
                <w:sz w:val="18"/>
                <w:szCs w:val="18"/>
              </w:rPr>
              <w:t>y</w:t>
            </w:r>
            <w:r>
              <w:rPr>
                <w:rFonts w:ascii="Times New Roman" w:hAnsi="Times New Roman" w:eastAsia="宋体"/>
                <w:kern w:val="0"/>
                <w:sz w:val="18"/>
                <w:szCs w:val="18"/>
              </w:rPr>
              <w:t>9</w:t>
            </w:r>
            <w:r>
              <w:rPr>
                <w:rFonts w:ascii="Times New Roman" w:hAnsi="宋体" w:eastAsia="宋体"/>
                <w:kern w:val="0"/>
                <w:sz w:val="18"/>
                <w:szCs w:val="18"/>
              </w:rPr>
              <w:t>年</w:t>
            </w:r>
          </w:p>
        </w:tc>
        <w:tc>
          <w:tcPr>
            <w:tcW w:w="2056"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Times New Roman" w:hAnsi="Times New Roman" w:eastAsia="宋体"/>
                <w:kern w:val="0"/>
                <w:sz w:val="18"/>
                <w:szCs w:val="18"/>
              </w:rPr>
            </w:pPr>
            <w:r>
              <w:rPr>
                <w:rFonts w:ascii="Times New Roman" w:hAnsi="Times New Roman" w:eastAsia="宋体"/>
                <w:kern w:val="0"/>
                <w:sz w:val="18"/>
                <w:szCs w:val="18"/>
              </w:rPr>
              <w:t>20x0</w:t>
            </w:r>
            <w:r>
              <w:rPr>
                <w:rFonts w:ascii="Times New Roman" w:hAnsi="宋体" w:eastAsia="宋体"/>
                <w:kern w:val="0"/>
                <w:sz w:val="18"/>
                <w:szCs w:val="18"/>
              </w:rPr>
              <w:t>年</w:t>
            </w:r>
          </w:p>
        </w:tc>
        <w:tc>
          <w:tcPr>
            <w:tcW w:w="1810"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Times New Roman" w:hAnsi="Times New Roman" w:eastAsia="宋体"/>
                <w:kern w:val="0"/>
                <w:sz w:val="18"/>
                <w:szCs w:val="18"/>
              </w:rPr>
            </w:pPr>
            <w:r>
              <w:rPr>
                <w:rFonts w:ascii="Times New Roman" w:hAnsi="Times New Roman" w:eastAsia="宋体"/>
                <w:kern w:val="0"/>
                <w:sz w:val="18"/>
                <w:szCs w:val="18"/>
              </w:rPr>
              <w:t>20x1</w:t>
            </w:r>
            <w:r>
              <w:rPr>
                <w:rFonts w:ascii="Times New Roman" w:hAnsi="宋体" w:eastAsia="宋体"/>
                <w:kern w:val="0"/>
                <w:sz w:val="18"/>
                <w:szCs w:val="18"/>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240" w:type="dxa"/>
            <w:tcBorders>
              <w:top w:val="nil"/>
              <w:left w:val="single" w:color="auto" w:sz="4" w:space="0"/>
              <w:bottom w:val="single" w:color="auto" w:sz="4" w:space="0"/>
              <w:right w:val="single" w:color="auto" w:sz="4" w:space="0"/>
            </w:tcBorders>
            <w:vAlign w:val="center"/>
          </w:tcPr>
          <w:p>
            <w:pPr>
              <w:widowControl/>
              <w:spacing w:line="240" w:lineRule="auto"/>
              <w:jc w:val="left"/>
              <w:rPr>
                <w:rFonts w:ascii="Times New Roman" w:hAnsi="Times New Roman" w:eastAsia="宋体"/>
                <w:kern w:val="0"/>
                <w:sz w:val="18"/>
                <w:szCs w:val="18"/>
              </w:rPr>
            </w:pPr>
            <w:r>
              <w:rPr>
                <w:rFonts w:ascii="Times New Roman" w:hAnsi="宋体" w:eastAsia="宋体"/>
                <w:kern w:val="0"/>
                <w:sz w:val="18"/>
                <w:szCs w:val="18"/>
              </w:rPr>
              <w:t>股票交易额</w:t>
            </w:r>
          </w:p>
        </w:tc>
        <w:tc>
          <w:tcPr>
            <w:tcW w:w="2056"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kern w:val="0"/>
                <w:sz w:val="18"/>
                <w:szCs w:val="18"/>
              </w:rPr>
            </w:pPr>
            <w:r>
              <w:rPr>
                <w:rFonts w:ascii="Times New Roman" w:hAnsi="Times New Roman" w:eastAsia="宋体"/>
                <w:kern w:val="0"/>
                <w:sz w:val="18"/>
                <w:szCs w:val="18"/>
              </w:rPr>
              <w:t>1,065,220.97</w:t>
            </w:r>
          </w:p>
        </w:tc>
        <w:tc>
          <w:tcPr>
            <w:tcW w:w="2056"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kern w:val="0"/>
                <w:sz w:val="18"/>
                <w:szCs w:val="18"/>
              </w:rPr>
            </w:pPr>
            <w:r>
              <w:rPr>
                <w:rFonts w:ascii="Times New Roman" w:hAnsi="Times New Roman" w:eastAsia="宋体"/>
                <w:kern w:val="0"/>
                <w:sz w:val="18"/>
                <w:szCs w:val="18"/>
              </w:rPr>
              <w:t>1,084,347.40</w:t>
            </w:r>
          </w:p>
        </w:tc>
        <w:tc>
          <w:tcPr>
            <w:tcW w:w="1810"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kern w:val="0"/>
                <w:sz w:val="18"/>
                <w:szCs w:val="18"/>
              </w:rPr>
            </w:pPr>
            <w:r>
              <w:rPr>
                <w:rFonts w:ascii="Times New Roman" w:hAnsi="Times New Roman" w:eastAsia="宋体"/>
                <w:kern w:val="0"/>
                <w:sz w:val="18"/>
                <w:szCs w:val="18"/>
              </w:rPr>
              <w:t>836,680.71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240" w:type="dxa"/>
            <w:tcBorders>
              <w:top w:val="nil"/>
              <w:left w:val="single" w:color="auto" w:sz="4" w:space="0"/>
              <w:bottom w:val="single" w:color="auto" w:sz="4" w:space="0"/>
              <w:right w:val="single" w:color="auto" w:sz="4" w:space="0"/>
            </w:tcBorders>
            <w:vAlign w:val="center"/>
          </w:tcPr>
          <w:p>
            <w:pPr>
              <w:widowControl/>
              <w:spacing w:line="240" w:lineRule="auto"/>
              <w:jc w:val="left"/>
              <w:rPr>
                <w:rFonts w:ascii="Times New Roman" w:hAnsi="Times New Roman" w:eastAsia="宋体"/>
                <w:kern w:val="0"/>
                <w:sz w:val="18"/>
                <w:szCs w:val="18"/>
              </w:rPr>
            </w:pPr>
            <w:r>
              <w:rPr>
                <w:rFonts w:ascii="Times New Roman" w:hAnsi="宋体" w:eastAsia="宋体"/>
                <w:kern w:val="0"/>
                <w:sz w:val="18"/>
                <w:szCs w:val="18"/>
              </w:rPr>
              <w:t>基金交易额</w:t>
            </w:r>
          </w:p>
        </w:tc>
        <w:tc>
          <w:tcPr>
            <w:tcW w:w="2056"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kern w:val="0"/>
                <w:sz w:val="18"/>
                <w:szCs w:val="18"/>
              </w:rPr>
            </w:pPr>
            <w:r>
              <w:rPr>
                <w:rFonts w:ascii="Times New Roman" w:hAnsi="Times New Roman" w:eastAsia="宋体"/>
                <w:kern w:val="0"/>
                <w:sz w:val="18"/>
                <w:szCs w:val="18"/>
              </w:rPr>
              <w:t>19,544.59</w:t>
            </w:r>
          </w:p>
        </w:tc>
        <w:tc>
          <w:tcPr>
            <w:tcW w:w="2056"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kern w:val="0"/>
                <w:sz w:val="18"/>
                <w:szCs w:val="18"/>
              </w:rPr>
            </w:pPr>
            <w:r>
              <w:rPr>
                <w:rFonts w:ascii="Times New Roman" w:hAnsi="Times New Roman" w:eastAsia="宋体"/>
                <w:kern w:val="0"/>
                <w:sz w:val="18"/>
                <w:szCs w:val="18"/>
              </w:rPr>
              <w:t>17,027.77</w:t>
            </w:r>
          </w:p>
        </w:tc>
        <w:tc>
          <w:tcPr>
            <w:tcW w:w="1810"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kern w:val="0"/>
                <w:sz w:val="18"/>
                <w:szCs w:val="18"/>
              </w:rPr>
            </w:pPr>
            <w:r>
              <w:rPr>
                <w:rFonts w:ascii="Times New Roman" w:hAnsi="Times New Roman" w:eastAsia="宋体"/>
                <w:kern w:val="0"/>
                <w:sz w:val="18"/>
                <w:szCs w:val="18"/>
              </w:rPr>
              <w:t>12,059.84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240" w:type="dxa"/>
            <w:tcBorders>
              <w:top w:val="nil"/>
              <w:left w:val="single" w:color="auto" w:sz="4" w:space="0"/>
              <w:bottom w:val="single" w:color="auto" w:sz="4" w:space="0"/>
              <w:right w:val="single" w:color="auto" w:sz="4" w:space="0"/>
            </w:tcBorders>
            <w:vAlign w:val="center"/>
          </w:tcPr>
          <w:p>
            <w:pPr>
              <w:widowControl/>
              <w:spacing w:line="240" w:lineRule="auto"/>
              <w:jc w:val="left"/>
              <w:rPr>
                <w:rFonts w:ascii="Times New Roman" w:hAnsi="Times New Roman" w:eastAsia="宋体"/>
                <w:kern w:val="0"/>
                <w:sz w:val="18"/>
                <w:szCs w:val="18"/>
              </w:rPr>
            </w:pPr>
            <w:r>
              <w:rPr>
                <w:rFonts w:ascii="Times New Roman" w:hAnsi="宋体" w:eastAsia="宋体"/>
                <w:kern w:val="0"/>
                <w:sz w:val="18"/>
                <w:szCs w:val="18"/>
              </w:rPr>
              <w:t>股票基金交易额合计</w:t>
            </w:r>
          </w:p>
        </w:tc>
        <w:tc>
          <w:tcPr>
            <w:tcW w:w="2056"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kern w:val="0"/>
                <w:sz w:val="18"/>
                <w:szCs w:val="18"/>
              </w:rPr>
            </w:pPr>
            <w:r>
              <w:rPr>
                <w:rFonts w:ascii="Times New Roman" w:hAnsi="Times New Roman" w:eastAsia="宋体"/>
                <w:kern w:val="0"/>
                <w:sz w:val="18"/>
                <w:szCs w:val="18"/>
              </w:rPr>
              <w:t>1,084,765.56</w:t>
            </w:r>
          </w:p>
        </w:tc>
        <w:tc>
          <w:tcPr>
            <w:tcW w:w="2056"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kern w:val="0"/>
                <w:sz w:val="18"/>
                <w:szCs w:val="18"/>
              </w:rPr>
            </w:pPr>
            <w:r>
              <w:rPr>
                <w:rFonts w:ascii="Times New Roman" w:hAnsi="Times New Roman" w:eastAsia="宋体"/>
                <w:kern w:val="0"/>
                <w:sz w:val="18"/>
                <w:szCs w:val="18"/>
              </w:rPr>
              <w:t>1,101,375.17</w:t>
            </w:r>
          </w:p>
        </w:tc>
        <w:tc>
          <w:tcPr>
            <w:tcW w:w="1810"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kern w:val="0"/>
                <w:sz w:val="18"/>
                <w:szCs w:val="18"/>
              </w:rPr>
            </w:pPr>
            <w:r>
              <w:rPr>
                <w:rFonts w:ascii="Times New Roman" w:hAnsi="Times New Roman" w:eastAsia="宋体"/>
                <w:kern w:val="0"/>
                <w:sz w:val="18"/>
                <w:szCs w:val="18"/>
              </w:rPr>
              <w:t>848,740.55</w:t>
            </w:r>
          </w:p>
        </w:tc>
      </w:tr>
    </w:tbl>
    <w:p>
      <w:pPr>
        <w:spacing w:line="360" w:lineRule="auto"/>
        <w:ind w:firstLine="444" w:firstLineChars="200"/>
        <w:jc w:val="right"/>
        <w:rPr>
          <w:rFonts w:ascii="Times New Roman" w:hAnsi="Times New Roman"/>
          <w:kern w:val="0"/>
          <w:sz w:val="21"/>
          <w:szCs w:val="21"/>
        </w:rPr>
      </w:pPr>
      <w:r>
        <w:rPr>
          <w:rFonts w:ascii="Times New Roman" w:hAnsi="Times New Roman"/>
          <w:kern w:val="0"/>
          <w:sz w:val="21"/>
          <w:szCs w:val="21"/>
        </w:rPr>
        <w:t>数据来源：wind资讯</w:t>
      </w:r>
    </w:p>
    <w:p>
      <w:pPr>
        <w:spacing w:line="360" w:lineRule="auto"/>
        <w:ind w:firstLine="584" w:firstLineChars="200"/>
        <w:rPr>
          <w:rFonts w:ascii="Times New Roman" w:hAnsi="Times New Roman"/>
          <w:sz w:val="28"/>
          <w:szCs w:val="28"/>
          <w:lang w:val="zh-CN"/>
        </w:rPr>
      </w:pPr>
      <w:r>
        <w:rPr>
          <w:rFonts w:ascii="Times New Roman" w:hAnsi="Times New Roman"/>
          <w:sz w:val="28"/>
        </w:rPr>
        <w:t>本次评估的预测是基于我国的证券资本市场的增长速度、历史年度的波动水平、同时结合到现在的证券市场的表现进行预测的。面对我国证券市场的不稳定性，</w:t>
      </w:r>
      <w:r>
        <w:rPr>
          <w:rFonts w:hint="eastAsia" w:ascii="Times New Roman" w:hAnsi="Times New Roman"/>
          <w:sz w:val="28"/>
        </w:rPr>
        <w:t>资产</w:t>
      </w:r>
      <w:r>
        <w:rPr>
          <w:rFonts w:ascii="Times New Roman" w:hAnsi="Times New Roman"/>
          <w:sz w:val="28"/>
        </w:rPr>
        <w:t>评估师一方面考虑历史期的交易量，另一方面结合我国证券市场未来发展的走势，预测</w:t>
      </w:r>
      <w:r>
        <w:rPr>
          <w:rFonts w:ascii="Times New Roman" w:hAnsi="Times New Roman"/>
          <w:sz w:val="28"/>
          <w:szCs w:val="28"/>
          <w:lang w:val="zh-CN"/>
        </w:rPr>
        <w:t>未来年度我国证券市场成交额以每年7.6%的速度增长。</w:t>
      </w:r>
    </w:p>
    <w:p>
      <w:pPr>
        <w:spacing w:line="360" w:lineRule="auto"/>
        <w:ind w:firstLine="504" w:firstLineChars="200"/>
        <w:jc w:val="center"/>
        <w:rPr>
          <w:rFonts w:ascii="Times New Roman" w:hAnsi="Times New Roman" w:eastAsia="黑体"/>
          <w:sz w:val="24"/>
          <w:lang w:val="zh-CN"/>
        </w:rPr>
      </w:pPr>
      <w:r>
        <w:rPr>
          <w:rFonts w:ascii="Times New Roman" w:hAnsi="Times New Roman" w:eastAsia="黑体"/>
          <w:sz w:val="24"/>
          <w:lang w:val="zh-CN"/>
        </w:rPr>
        <w:t>我国历年GDP增长速度表</w:t>
      </w:r>
    </w:p>
    <w:tbl>
      <w:tblPr>
        <w:tblStyle w:val="27"/>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224"/>
        <w:gridCol w:w="2978"/>
        <w:gridCol w:w="2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blHeader/>
        </w:trPr>
        <w:tc>
          <w:tcPr>
            <w:tcW w:w="3224"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Times New Roman" w:hAnsi="Times New Roman" w:eastAsia="宋体"/>
                <w:kern w:val="0"/>
                <w:sz w:val="18"/>
                <w:szCs w:val="18"/>
              </w:rPr>
            </w:pPr>
            <w:r>
              <w:rPr>
                <w:rFonts w:ascii="Times New Roman" w:hAnsi="宋体" w:eastAsia="宋体"/>
                <w:kern w:val="0"/>
                <w:sz w:val="18"/>
                <w:szCs w:val="18"/>
              </w:rPr>
              <w:t>年份</w:t>
            </w:r>
          </w:p>
        </w:tc>
        <w:tc>
          <w:tcPr>
            <w:tcW w:w="2978"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Times New Roman" w:hAnsi="Times New Roman" w:eastAsia="宋体"/>
                <w:kern w:val="0"/>
                <w:sz w:val="18"/>
                <w:szCs w:val="18"/>
              </w:rPr>
            </w:pPr>
            <w:r>
              <w:rPr>
                <w:rFonts w:ascii="Times New Roman" w:hAnsi="Times New Roman" w:eastAsia="宋体"/>
                <w:kern w:val="0"/>
                <w:sz w:val="18"/>
                <w:szCs w:val="18"/>
              </w:rPr>
              <w:t>GDP</w:t>
            </w:r>
            <w:r>
              <w:rPr>
                <w:rFonts w:ascii="Times New Roman" w:hAnsi="宋体" w:eastAsia="宋体"/>
                <w:kern w:val="0"/>
                <w:sz w:val="18"/>
                <w:szCs w:val="18"/>
              </w:rPr>
              <w:t>（亿元）</w:t>
            </w:r>
          </w:p>
        </w:tc>
        <w:tc>
          <w:tcPr>
            <w:tcW w:w="2320"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Times New Roman" w:hAnsi="Times New Roman" w:eastAsia="宋体"/>
                <w:kern w:val="0"/>
                <w:sz w:val="18"/>
                <w:szCs w:val="18"/>
              </w:rPr>
            </w:pPr>
            <w:r>
              <w:rPr>
                <w:rFonts w:ascii="Times New Roman" w:hAnsi="Times New Roman" w:eastAsia="宋体"/>
                <w:kern w:val="0"/>
                <w:sz w:val="18"/>
                <w:szCs w:val="18"/>
              </w:rPr>
              <w:t>GDP:</w:t>
            </w:r>
            <w:r>
              <w:rPr>
                <w:rFonts w:ascii="Times New Roman" w:hAnsi="宋体" w:eastAsia="宋体"/>
                <w:kern w:val="0"/>
                <w:sz w:val="18"/>
                <w:szCs w:val="18"/>
              </w:rPr>
              <w:t>增长率</w:t>
            </w:r>
            <w:r>
              <w:rPr>
                <w:rFonts w:ascii="Times New Roman" w:hAnsi="Times New Roman" w:eastAsia="宋体"/>
                <w:kern w:val="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224" w:type="dxa"/>
            <w:tcBorders>
              <w:top w:val="nil"/>
              <w:left w:val="single" w:color="auto" w:sz="4" w:space="0"/>
              <w:bottom w:val="single" w:color="auto" w:sz="4" w:space="0"/>
              <w:right w:val="single" w:color="auto" w:sz="4" w:space="0"/>
            </w:tcBorders>
            <w:vAlign w:val="center"/>
          </w:tcPr>
          <w:p>
            <w:pPr>
              <w:widowControl/>
              <w:spacing w:line="240" w:lineRule="auto"/>
              <w:jc w:val="center"/>
              <w:rPr>
                <w:rFonts w:ascii="Times New Roman" w:hAnsi="Times New Roman" w:eastAsia="宋体"/>
                <w:kern w:val="0"/>
                <w:sz w:val="18"/>
                <w:szCs w:val="18"/>
              </w:rPr>
            </w:pPr>
            <w:bookmarkStart w:id="1" w:name="RANGE!A21:C34"/>
            <w:r>
              <w:rPr>
                <w:rFonts w:ascii="Times New Roman" w:hAnsi="Times New Roman" w:eastAsia="宋体"/>
                <w:kern w:val="0"/>
                <w:sz w:val="18"/>
                <w:szCs w:val="18"/>
              </w:rPr>
              <w:t>1999</w:t>
            </w:r>
            <w:bookmarkEnd w:id="1"/>
          </w:p>
        </w:tc>
        <w:tc>
          <w:tcPr>
            <w:tcW w:w="2978"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kern w:val="0"/>
                <w:sz w:val="18"/>
                <w:szCs w:val="18"/>
              </w:rPr>
            </w:pPr>
            <w:r>
              <w:rPr>
                <w:rFonts w:ascii="Times New Roman" w:hAnsi="Times New Roman" w:eastAsia="宋体"/>
                <w:kern w:val="0"/>
                <w:sz w:val="18"/>
                <w:szCs w:val="18"/>
              </w:rPr>
              <w:t xml:space="preserve">89,677.05 </w:t>
            </w:r>
          </w:p>
        </w:tc>
        <w:tc>
          <w:tcPr>
            <w:tcW w:w="2320"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kern w:val="0"/>
                <w:sz w:val="18"/>
                <w:szCs w:val="18"/>
              </w:rPr>
            </w:pPr>
            <w:r>
              <w:rPr>
                <w:rFonts w:ascii="Times New Roman" w:hAnsi="Times New Roman" w:eastAsia="宋体"/>
                <w:kern w:val="0"/>
                <w:sz w:val="18"/>
                <w:szCs w:val="18"/>
              </w:rPr>
              <w:t xml:space="preserve">7.60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224" w:type="dxa"/>
            <w:tcBorders>
              <w:top w:val="nil"/>
              <w:left w:val="single" w:color="auto" w:sz="4" w:space="0"/>
              <w:bottom w:val="single" w:color="auto" w:sz="4" w:space="0"/>
              <w:right w:val="single" w:color="auto" w:sz="4" w:space="0"/>
            </w:tcBorders>
            <w:vAlign w:val="center"/>
          </w:tcPr>
          <w:p>
            <w:pPr>
              <w:widowControl/>
              <w:spacing w:line="240" w:lineRule="auto"/>
              <w:jc w:val="center"/>
              <w:rPr>
                <w:rFonts w:ascii="Times New Roman" w:hAnsi="Times New Roman" w:eastAsia="宋体"/>
                <w:kern w:val="0"/>
                <w:sz w:val="18"/>
                <w:szCs w:val="18"/>
              </w:rPr>
            </w:pPr>
            <w:r>
              <w:rPr>
                <w:rFonts w:ascii="Times New Roman" w:hAnsi="Times New Roman" w:eastAsia="宋体"/>
                <w:kern w:val="0"/>
                <w:sz w:val="18"/>
                <w:szCs w:val="18"/>
              </w:rPr>
              <w:t>2000</w:t>
            </w:r>
          </w:p>
        </w:tc>
        <w:tc>
          <w:tcPr>
            <w:tcW w:w="2978"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kern w:val="0"/>
                <w:sz w:val="18"/>
                <w:szCs w:val="18"/>
              </w:rPr>
            </w:pPr>
            <w:r>
              <w:rPr>
                <w:rFonts w:ascii="Times New Roman" w:hAnsi="Times New Roman" w:eastAsia="宋体"/>
                <w:kern w:val="0"/>
                <w:sz w:val="18"/>
                <w:szCs w:val="18"/>
              </w:rPr>
              <w:t xml:space="preserve">99,214.55 </w:t>
            </w:r>
          </w:p>
        </w:tc>
        <w:tc>
          <w:tcPr>
            <w:tcW w:w="2320"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kern w:val="0"/>
                <w:sz w:val="18"/>
                <w:szCs w:val="18"/>
              </w:rPr>
            </w:pPr>
            <w:r>
              <w:rPr>
                <w:rFonts w:ascii="Times New Roman" w:hAnsi="Times New Roman" w:eastAsia="宋体"/>
                <w:kern w:val="0"/>
                <w:sz w:val="18"/>
                <w:szCs w:val="18"/>
              </w:rPr>
              <w:t xml:space="preserve">8.40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224" w:type="dxa"/>
            <w:tcBorders>
              <w:top w:val="nil"/>
              <w:left w:val="single" w:color="auto" w:sz="4" w:space="0"/>
              <w:bottom w:val="single" w:color="auto" w:sz="4" w:space="0"/>
              <w:right w:val="single" w:color="auto" w:sz="4" w:space="0"/>
            </w:tcBorders>
            <w:vAlign w:val="center"/>
          </w:tcPr>
          <w:p>
            <w:pPr>
              <w:widowControl/>
              <w:spacing w:line="240" w:lineRule="auto"/>
              <w:jc w:val="center"/>
              <w:rPr>
                <w:rFonts w:ascii="Times New Roman" w:hAnsi="Times New Roman" w:eastAsia="宋体"/>
                <w:kern w:val="0"/>
                <w:sz w:val="18"/>
                <w:szCs w:val="18"/>
              </w:rPr>
            </w:pPr>
            <w:r>
              <w:rPr>
                <w:rFonts w:ascii="Times New Roman" w:hAnsi="Times New Roman" w:eastAsia="宋体"/>
                <w:kern w:val="0"/>
                <w:sz w:val="18"/>
                <w:szCs w:val="18"/>
              </w:rPr>
              <w:t>2001</w:t>
            </w:r>
          </w:p>
        </w:tc>
        <w:tc>
          <w:tcPr>
            <w:tcW w:w="2978"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kern w:val="0"/>
                <w:sz w:val="18"/>
                <w:szCs w:val="18"/>
              </w:rPr>
            </w:pPr>
            <w:r>
              <w:rPr>
                <w:rFonts w:ascii="Times New Roman" w:hAnsi="Times New Roman" w:eastAsia="宋体"/>
                <w:kern w:val="0"/>
                <w:sz w:val="18"/>
                <w:szCs w:val="18"/>
              </w:rPr>
              <w:t xml:space="preserve">109,655.17 </w:t>
            </w:r>
          </w:p>
        </w:tc>
        <w:tc>
          <w:tcPr>
            <w:tcW w:w="2320"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kern w:val="0"/>
                <w:sz w:val="18"/>
                <w:szCs w:val="18"/>
              </w:rPr>
            </w:pPr>
            <w:r>
              <w:rPr>
                <w:rFonts w:ascii="Times New Roman" w:hAnsi="Times New Roman" w:eastAsia="宋体"/>
                <w:kern w:val="0"/>
                <w:sz w:val="18"/>
                <w:szCs w:val="18"/>
              </w:rPr>
              <w:t xml:space="preserve">8.30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224" w:type="dxa"/>
            <w:tcBorders>
              <w:top w:val="nil"/>
              <w:left w:val="single" w:color="auto" w:sz="4" w:space="0"/>
              <w:bottom w:val="single" w:color="auto" w:sz="4" w:space="0"/>
              <w:right w:val="single" w:color="auto" w:sz="4" w:space="0"/>
            </w:tcBorders>
            <w:vAlign w:val="center"/>
          </w:tcPr>
          <w:p>
            <w:pPr>
              <w:widowControl/>
              <w:spacing w:line="240" w:lineRule="auto"/>
              <w:jc w:val="center"/>
              <w:rPr>
                <w:rFonts w:ascii="Times New Roman" w:hAnsi="Times New Roman" w:eastAsia="宋体"/>
                <w:kern w:val="0"/>
                <w:sz w:val="18"/>
                <w:szCs w:val="18"/>
              </w:rPr>
            </w:pPr>
            <w:r>
              <w:rPr>
                <w:rFonts w:ascii="Times New Roman" w:hAnsi="Times New Roman" w:eastAsia="宋体"/>
                <w:kern w:val="0"/>
                <w:sz w:val="18"/>
                <w:szCs w:val="18"/>
              </w:rPr>
              <w:t>2002</w:t>
            </w:r>
          </w:p>
        </w:tc>
        <w:tc>
          <w:tcPr>
            <w:tcW w:w="2978"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kern w:val="0"/>
                <w:sz w:val="18"/>
                <w:szCs w:val="18"/>
              </w:rPr>
            </w:pPr>
            <w:r>
              <w:rPr>
                <w:rFonts w:ascii="Times New Roman" w:hAnsi="Times New Roman" w:eastAsia="宋体"/>
                <w:kern w:val="0"/>
                <w:sz w:val="18"/>
                <w:szCs w:val="18"/>
              </w:rPr>
              <w:t xml:space="preserve">120,332.69 </w:t>
            </w:r>
          </w:p>
        </w:tc>
        <w:tc>
          <w:tcPr>
            <w:tcW w:w="2320"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kern w:val="0"/>
                <w:sz w:val="18"/>
                <w:szCs w:val="18"/>
              </w:rPr>
            </w:pPr>
            <w:r>
              <w:rPr>
                <w:rFonts w:ascii="Times New Roman" w:hAnsi="Times New Roman" w:eastAsia="宋体"/>
                <w:kern w:val="0"/>
                <w:sz w:val="18"/>
                <w:szCs w:val="18"/>
              </w:rPr>
              <w:t xml:space="preserve">9.10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224" w:type="dxa"/>
            <w:tcBorders>
              <w:top w:val="nil"/>
              <w:left w:val="single" w:color="auto" w:sz="4" w:space="0"/>
              <w:bottom w:val="single" w:color="auto" w:sz="4" w:space="0"/>
              <w:right w:val="single" w:color="auto" w:sz="4" w:space="0"/>
            </w:tcBorders>
            <w:vAlign w:val="center"/>
          </w:tcPr>
          <w:p>
            <w:pPr>
              <w:widowControl/>
              <w:spacing w:line="240" w:lineRule="auto"/>
              <w:jc w:val="center"/>
              <w:rPr>
                <w:rFonts w:ascii="Times New Roman" w:hAnsi="Times New Roman" w:eastAsia="宋体"/>
                <w:kern w:val="0"/>
                <w:sz w:val="18"/>
                <w:szCs w:val="18"/>
              </w:rPr>
            </w:pPr>
            <w:r>
              <w:rPr>
                <w:rFonts w:ascii="Times New Roman" w:hAnsi="Times New Roman" w:eastAsia="宋体"/>
                <w:kern w:val="0"/>
                <w:sz w:val="18"/>
                <w:szCs w:val="18"/>
              </w:rPr>
              <w:t>2003</w:t>
            </w:r>
          </w:p>
        </w:tc>
        <w:tc>
          <w:tcPr>
            <w:tcW w:w="2978"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kern w:val="0"/>
                <w:sz w:val="18"/>
                <w:szCs w:val="18"/>
              </w:rPr>
            </w:pPr>
            <w:r>
              <w:rPr>
                <w:rFonts w:ascii="Times New Roman" w:hAnsi="Times New Roman" w:eastAsia="宋体"/>
                <w:kern w:val="0"/>
                <w:sz w:val="18"/>
                <w:szCs w:val="18"/>
              </w:rPr>
              <w:t xml:space="preserve">135,822.76 </w:t>
            </w:r>
          </w:p>
        </w:tc>
        <w:tc>
          <w:tcPr>
            <w:tcW w:w="2320"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kern w:val="0"/>
                <w:sz w:val="18"/>
                <w:szCs w:val="18"/>
              </w:rPr>
            </w:pPr>
            <w:r>
              <w:rPr>
                <w:rFonts w:ascii="Times New Roman" w:hAnsi="Times New Roman" w:eastAsia="宋体"/>
                <w:kern w:val="0"/>
                <w:sz w:val="18"/>
                <w:szCs w:val="18"/>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224" w:type="dxa"/>
            <w:tcBorders>
              <w:top w:val="nil"/>
              <w:left w:val="single" w:color="auto" w:sz="4" w:space="0"/>
              <w:bottom w:val="single" w:color="auto" w:sz="4" w:space="0"/>
              <w:right w:val="single" w:color="auto" w:sz="4" w:space="0"/>
            </w:tcBorders>
            <w:vAlign w:val="center"/>
          </w:tcPr>
          <w:p>
            <w:pPr>
              <w:widowControl/>
              <w:spacing w:line="240" w:lineRule="auto"/>
              <w:jc w:val="center"/>
              <w:rPr>
                <w:rFonts w:ascii="Times New Roman" w:hAnsi="Times New Roman" w:eastAsia="宋体"/>
                <w:kern w:val="0"/>
                <w:sz w:val="18"/>
                <w:szCs w:val="18"/>
              </w:rPr>
            </w:pPr>
            <w:r>
              <w:rPr>
                <w:rFonts w:ascii="Times New Roman" w:hAnsi="Times New Roman" w:eastAsia="宋体"/>
                <w:kern w:val="0"/>
                <w:sz w:val="18"/>
                <w:szCs w:val="18"/>
              </w:rPr>
              <w:t>2004</w:t>
            </w:r>
          </w:p>
        </w:tc>
        <w:tc>
          <w:tcPr>
            <w:tcW w:w="2978"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kern w:val="0"/>
                <w:sz w:val="18"/>
                <w:szCs w:val="18"/>
              </w:rPr>
            </w:pPr>
            <w:r>
              <w:rPr>
                <w:rFonts w:ascii="Times New Roman" w:hAnsi="Times New Roman" w:eastAsia="宋体"/>
                <w:kern w:val="0"/>
                <w:sz w:val="18"/>
                <w:szCs w:val="18"/>
              </w:rPr>
              <w:t xml:space="preserve">159,878.34 </w:t>
            </w:r>
          </w:p>
        </w:tc>
        <w:tc>
          <w:tcPr>
            <w:tcW w:w="2320"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kern w:val="0"/>
                <w:sz w:val="18"/>
                <w:szCs w:val="18"/>
              </w:rPr>
            </w:pPr>
            <w:r>
              <w:rPr>
                <w:rFonts w:ascii="Times New Roman" w:hAnsi="Times New Roman" w:eastAsia="宋体"/>
                <w:kern w:val="0"/>
                <w:sz w:val="18"/>
                <w:szCs w:val="18"/>
              </w:rPr>
              <w:t xml:space="preserve">10.10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224" w:type="dxa"/>
            <w:tcBorders>
              <w:top w:val="nil"/>
              <w:left w:val="single" w:color="auto" w:sz="4" w:space="0"/>
              <w:bottom w:val="single" w:color="auto" w:sz="4" w:space="0"/>
              <w:right w:val="single" w:color="auto" w:sz="4" w:space="0"/>
            </w:tcBorders>
            <w:vAlign w:val="center"/>
          </w:tcPr>
          <w:p>
            <w:pPr>
              <w:widowControl/>
              <w:spacing w:line="240" w:lineRule="auto"/>
              <w:jc w:val="center"/>
              <w:rPr>
                <w:rFonts w:ascii="Times New Roman" w:hAnsi="Times New Roman" w:eastAsia="宋体"/>
                <w:kern w:val="0"/>
                <w:sz w:val="18"/>
                <w:szCs w:val="18"/>
              </w:rPr>
            </w:pPr>
            <w:r>
              <w:rPr>
                <w:rFonts w:ascii="Times New Roman" w:hAnsi="Times New Roman" w:eastAsia="宋体"/>
                <w:kern w:val="0"/>
                <w:sz w:val="18"/>
                <w:szCs w:val="18"/>
              </w:rPr>
              <w:t>2005</w:t>
            </w:r>
          </w:p>
        </w:tc>
        <w:tc>
          <w:tcPr>
            <w:tcW w:w="2978"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kern w:val="0"/>
                <w:sz w:val="18"/>
                <w:szCs w:val="18"/>
              </w:rPr>
            </w:pPr>
            <w:r>
              <w:rPr>
                <w:rFonts w:ascii="Times New Roman" w:hAnsi="Times New Roman" w:eastAsia="宋体"/>
                <w:kern w:val="0"/>
                <w:sz w:val="18"/>
                <w:szCs w:val="18"/>
              </w:rPr>
              <w:t xml:space="preserve">184,937.40 </w:t>
            </w:r>
          </w:p>
        </w:tc>
        <w:tc>
          <w:tcPr>
            <w:tcW w:w="2320"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kern w:val="0"/>
                <w:sz w:val="18"/>
                <w:szCs w:val="18"/>
              </w:rPr>
            </w:pPr>
            <w:r>
              <w:rPr>
                <w:rFonts w:ascii="Times New Roman" w:hAnsi="Times New Roman" w:eastAsia="宋体"/>
                <w:kern w:val="0"/>
                <w:sz w:val="18"/>
                <w:szCs w:val="18"/>
              </w:rPr>
              <w:t xml:space="preserve">11.30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224" w:type="dxa"/>
            <w:tcBorders>
              <w:top w:val="nil"/>
              <w:left w:val="single" w:color="auto" w:sz="4" w:space="0"/>
              <w:bottom w:val="single" w:color="auto" w:sz="4" w:space="0"/>
              <w:right w:val="single" w:color="auto" w:sz="4" w:space="0"/>
            </w:tcBorders>
            <w:vAlign w:val="center"/>
          </w:tcPr>
          <w:p>
            <w:pPr>
              <w:widowControl/>
              <w:spacing w:line="240" w:lineRule="auto"/>
              <w:jc w:val="center"/>
              <w:rPr>
                <w:rFonts w:ascii="Times New Roman" w:hAnsi="Times New Roman" w:eastAsia="宋体"/>
                <w:kern w:val="0"/>
                <w:sz w:val="18"/>
                <w:szCs w:val="18"/>
              </w:rPr>
            </w:pPr>
            <w:r>
              <w:rPr>
                <w:rFonts w:ascii="Times New Roman" w:hAnsi="Times New Roman" w:eastAsia="宋体"/>
                <w:kern w:val="0"/>
                <w:sz w:val="18"/>
                <w:szCs w:val="18"/>
              </w:rPr>
              <w:t>2006</w:t>
            </w:r>
          </w:p>
        </w:tc>
        <w:tc>
          <w:tcPr>
            <w:tcW w:w="2978"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kern w:val="0"/>
                <w:sz w:val="18"/>
                <w:szCs w:val="18"/>
              </w:rPr>
            </w:pPr>
            <w:r>
              <w:rPr>
                <w:rFonts w:ascii="Times New Roman" w:hAnsi="Times New Roman" w:eastAsia="宋体"/>
                <w:kern w:val="0"/>
                <w:sz w:val="18"/>
                <w:szCs w:val="18"/>
              </w:rPr>
              <w:t xml:space="preserve">216,314.40 </w:t>
            </w:r>
          </w:p>
        </w:tc>
        <w:tc>
          <w:tcPr>
            <w:tcW w:w="2320"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kern w:val="0"/>
                <w:sz w:val="18"/>
                <w:szCs w:val="18"/>
              </w:rPr>
            </w:pPr>
            <w:r>
              <w:rPr>
                <w:rFonts w:ascii="Times New Roman" w:hAnsi="Times New Roman" w:eastAsia="宋体"/>
                <w:kern w:val="0"/>
                <w:sz w:val="18"/>
                <w:szCs w:val="18"/>
              </w:rPr>
              <w:t xml:space="preserve">12.70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224"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Times New Roman" w:hAnsi="Times New Roman" w:eastAsia="宋体"/>
                <w:kern w:val="0"/>
                <w:sz w:val="18"/>
                <w:szCs w:val="18"/>
              </w:rPr>
            </w:pPr>
            <w:r>
              <w:rPr>
                <w:rFonts w:ascii="Times New Roman" w:hAnsi="Times New Roman" w:eastAsia="宋体"/>
                <w:kern w:val="0"/>
                <w:sz w:val="18"/>
                <w:szCs w:val="18"/>
              </w:rPr>
              <w:t>2007</w:t>
            </w:r>
          </w:p>
        </w:tc>
        <w:tc>
          <w:tcPr>
            <w:tcW w:w="2978"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Times New Roman" w:hAnsi="Times New Roman" w:eastAsia="宋体"/>
                <w:kern w:val="0"/>
                <w:sz w:val="18"/>
                <w:szCs w:val="18"/>
              </w:rPr>
            </w:pPr>
            <w:r>
              <w:rPr>
                <w:rFonts w:ascii="Times New Roman" w:hAnsi="Times New Roman" w:eastAsia="宋体"/>
                <w:kern w:val="0"/>
                <w:sz w:val="18"/>
                <w:szCs w:val="18"/>
              </w:rPr>
              <w:t xml:space="preserve">265,810.30 </w:t>
            </w:r>
          </w:p>
        </w:tc>
        <w:tc>
          <w:tcPr>
            <w:tcW w:w="232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Times New Roman" w:hAnsi="Times New Roman" w:eastAsia="宋体"/>
                <w:kern w:val="0"/>
                <w:sz w:val="18"/>
                <w:szCs w:val="18"/>
              </w:rPr>
            </w:pPr>
            <w:r>
              <w:rPr>
                <w:rFonts w:ascii="Times New Roman" w:hAnsi="Times New Roman" w:eastAsia="宋体"/>
                <w:kern w:val="0"/>
                <w:sz w:val="18"/>
                <w:szCs w:val="18"/>
              </w:rPr>
              <w:t xml:space="preserve">14.20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224"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Times New Roman" w:hAnsi="Times New Roman" w:eastAsia="宋体"/>
                <w:kern w:val="0"/>
                <w:sz w:val="18"/>
                <w:szCs w:val="18"/>
              </w:rPr>
            </w:pPr>
            <w:r>
              <w:rPr>
                <w:rFonts w:ascii="Times New Roman" w:hAnsi="Times New Roman" w:eastAsia="宋体"/>
                <w:kern w:val="0"/>
                <w:sz w:val="18"/>
                <w:szCs w:val="18"/>
              </w:rPr>
              <w:t>2008</w:t>
            </w:r>
          </w:p>
        </w:tc>
        <w:tc>
          <w:tcPr>
            <w:tcW w:w="2978"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Times New Roman" w:hAnsi="Times New Roman" w:eastAsia="宋体"/>
                <w:kern w:val="0"/>
                <w:sz w:val="18"/>
                <w:szCs w:val="18"/>
              </w:rPr>
            </w:pPr>
            <w:r>
              <w:rPr>
                <w:rFonts w:ascii="Times New Roman" w:hAnsi="Times New Roman" w:eastAsia="宋体"/>
                <w:kern w:val="0"/>
                <w:sz w:val="18"/>
                <w:szCs w:val="18"/>
              </w:rPr>
              <w:t xml:space="preserve">314,045.40 </w:t>
            </w:r>
          </w:p>
        </w:tc>
        <w:tc>
          <w:tcPr>
            <w:tcW w:w="2320"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Times New Roman" w:hAnsi="Times New Roman" w:eastAsia="宋体"/>
                <w:kern w:val="0"/>
                <w:sz w:val="18"/>
                <w:szCs w:val="18"/>
              </w:rPr>
            </w:pPr>
            <w:r>
              <w:rPr>
                <w:rFonts w:ascii="Times New Roman" w:hAnsi="Times New Roman" w:eastAsia="宋体"/>
                <w:kern w:val="0"/>
                <w:sz w:val="18"/>
                <w:szCs w:val="18"/>
              </w:rPr>
              <w:t xml:space="preserve">9.60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224" w:type="dxa"/>
            <w:tcBorders>
              <w:top w:val="nil"/>
              <w:left w:val="single" w:color="auto" w:sz="4" w:space="0"/>
              <w:bottom w:val="single" w:color="auto" w:sz="4" w:space="0"/>
              <w:right w:val="single" w:color="auto" w:sz="4" w:space="0"/>
            </w:tcBorders>
            <w:vAlign w:val="center"/>
          </w:tcPr>
          <w:p>
            <w:pPr>
              <w:widowControl/>
              <w:spacing w:line="240" w:lineRule="auto"/>
              <w:jc w:val="center"/>
              <w:rPr>
                <w:rFonts w:ascii="Times New Roman" w:hAnsi="Times New Roman" w:eastAsia="宋体"/>
                <w:kern w:val="0"/>
                <w:sz w:val="18"/>
                <w:szCs w:val="18"/>
              </w:rPr>
            </w:pPr>
            <w:r>
              <w:rPr>
                <w:rFonts w:ascii="Times New Roman" w:hAnsi="Times New Roman" w:eastAsia="宋体"/>
                <w:kern w:val="0"/>
                <w:sz w:val="18"/>
                <w:szCs w:val="18"/>
              </w:rPr>
              <w:t>2009</w:t>
            </w:r>
          </w:p>
        </w:tc>
        <w:tc>
          <w:tcPr>
            <w:tcW w:w="2978"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kern w:val="0"/>
                <w:sz w:val="18"/>
                <w:szCs w:val="18"/>
              </w:rPr>
            </w:pPr>
            <w:r>
              <w:rPr>
                <w:rFonts w:ascii="Times New Roman" w:hAnsi="Times New Roman" w:eastAsia="宋体"/>
                <w:kern w:val="0"/>
                <w:sz w:val="18"/>
                <w:szCs w:val="18"/>
              </w:rPr>
              <w:t xml:space="preserve">340,902.81 </w:t>
            </w:r>
          </w:p>
        </w:tc>
        <w:tc>
          <w:tcPr>
            <w:tcW w:w="2320"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kern w:val="0"/>
                <w:sz w:val="18"/>
                <w:szCs w:val="18"/>
              </w:rPr>
            </w:pPr>
            <w:r>
              <w:rPr>
                <w:rFonts w:ascii="Times New Roman" w:hAnsi="Times New Roman" w:eastAsia="宋体"/>
                <w:kern w:val="0"/>
                <w:sz w:val="18"/>
                <w:szCs w:val="18"/>
              </w:rPr>
              <w:t xml:space="preserve">9.20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224" w:type="dxa"/>
            <w:tcBorders>
              <w:top w:val="nil"/>
              <w:left w:val="single" w:color="auto" w:sz="4" w:space="0"/>
              <w:bottom w:val="single" w:color="auto" w:sz="4" w:space="0"/>
              <w:right w:val="single" w:color="auto" w:sz="4" w:space="0"/>
            </w:tcBorders>
            <w:vAlign w:val="center"/>
          </w:tcPr>
          <w:p>
            <w:pPr>
              <w:widowControl/>
              <w:spacing w:line="240" w:lineRule="auto"/>
              <w:jc w:val="center"/>
              <w:rPr>
                <w:rFonts w:ascii="Times New Roman" w:hAnsi="Times New Roman" w:eastAsia="宋体"/>
                <w:kern w:val="0"/>
                <w:sz w:val="18"/>
                <w:szCs w:val="18"/>
              </w:rPr>
            </w:pPr>
            <w:r>
              <w:rPr>
                <w:rFonts w:ascii="Times New Roman" w:hAnsi="Times New Roman" w:eastAsia="宋体"/>
                <w:kern w:val="0"/>
                <w:sz w:val="18"/>
                <w:szCs w:val="18"/>
              </w:rPr>
              <w:t>2010</w:t>
            </w:r>
          </w:p>
        </w:tc>
        <w:tc>
          <w:tcPr>
            <w:tcW w:w="2978"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kern w:val="0"/>
                <w:sz w:val="18"/>
                <w:szCs w:val="18"/>
              </w:rPr>
            </w:pPr>
            <w:r>
              <w:rPr>
                <w:rFonts w:ascii="Times New Roman" w:hAnsi="Times New Roman" w:eastAsia="宋体"/>
                <w:kern w:val="0"/>
                <w:sz w:val="18"/>
                <w:szCs w:val="18"/>
              </w:rPr>
              <w:t xml:space="preserve">401,512.80 </w:t>
            </w:r>
          </w:p>
        </w:tc>
        <w:tc>
          <w:tcPr>
            <w:tcW w:w="2320"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kern w:val="0"/>
                <w:sz w:val="18"/>
                <w:szCs w:val="18"/>
              </w:rPr>
            </w:pPr>
            <w:r>
              <w:rPr>
                <w:rFonts w:ascii="Times New Roman" w:hAnsi="Times New Roman" w:eastAsia="宋体"/>
                <w:kern w:val="0"/>
                <w:sz w:val="18"/>
                <w:szCs w:val="18"/>
              </w:rPr>
              <w:t xml:space="preserve">10.40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224" w:type="dxa"/>
            <w:tcBorders>
              <w:top w:val="nil"/>
              <w:left w:val="single" w:color="auto" w:sz="4" w:space="0"/>
              <w:bottom w:val="single" w:color="auto" w:sz="4" w:space="0"/>
              <w:right w:val="single" w:color="auto" w:sz="4" w:space="0"/>
            </w:tcBorders>
            <w:vAlign w:val="center"/>
          </w:tcPr>
          <w:p>
            <w:pPr>
              <w:widowControl/>
              <w:spacing w:line="240" w:lineRule="auto"/>
              <w:jc w:val="center"/>
              <w:rPr>
                <w:rFonts w:ascii="Times New Roman" w:hAnsi="Times New Roman" w:eastAsia="宋体"/>
                <w:kern w:val="0"/>
                <w:sz w:val="18"/>
                <w:szCs w:val="18"/>
              </w:rPr>
            </w:pPr>
            <w:r>
              <w:rPr>
                <w:rFonts w:ascii="Times New Roman" w:hAnsi="Times New Roman" w:eastAsia="宋体"/>
                <w:kern w:val="0"/>
                <w:sz w:val="18"/>
                <w:szCs w:val="18"/>
              </w:rPr>
              <w:t>2011</w:t>
            </w:r>
          </w:p>
        </w:tc>
        <w:tc>
          <w:tcPr>
            <w:tcW w:w="2978"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kern w:val="0"/>
                <w:sz w:val="18"/>
                <w:szCs w:val="18"/>
              </w:rPr>
            </w:pPr>
            <w:r>
              <w:rPr>
                <w:rFonts w:ascii="Times New Roman" w:hAnsi="Times New Roman" w:eastAsia="宋体"/>
                <w:kern w:val="0"/>
                <w:sz w:val="18"/>
                <w:szCs w:val="18"/>
              </w:rPr>
              <w:t xml:space="preserve">473,104.00 </w:t>
            </w:r>
          </w:p>
        </w:tc>
        <w:tc>
          <w:tcPr>
            <w:tcW w:w="2320"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kern w:val="0"/>
                <w:sz w:val="18"/>
                <w:szCs w:val="18"/>
              </w:rPr>
            </w:pPr>
            <w:r>
              <w:rPr>
                <w:rFonts w:ascii="Times New Roman" w:hAnsi="Times New Roman" w:eastAsia="宋体"/>
                <w:kern w:val="0"/>
                <w:sz w:val="18"/>
                <w:szCs w:val="18"/>
              </w:rPr>
              <w:t xml:space="preserve">9.30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224" w:type="dxa"/>
            <w:tcBorders>
              <w:top w:val="nil"/>
              <w:left w:val="single" w:color="auto" w:sz="4" w:space="0"/>
              <w:bottom w:val="single" w:color="auto" w:sz="4" w:space="0"/>
              <w:right w:val="single" w:color="auto" w:sz="4" w:space="0"/>
            </w:tcBorders>
            <w:vAlign w:val="center"/>
          </w:tcPr>
          <w:p>
            <w:pPr>
              <w:widowControl/>
              <w:spacing w:line="240" w:lineRule="auto"/>
              <w:jc w:val="center"/>
              <w:rPr>
                <w:rFonts w:ascii="Times New Roman" w:hAnsi="Times New Roman" w:eastAsia="宋体"/>
                <w:kern w:val="0"/>
                <w:sz w:val="18"/>
                <w:szCs w:val="18"/>
              </w:rPr>
            </w:pPr>
            <w:r>
              <w:rPr>
                <w:rFonts w:ascii="Times New Roman" w:hAnsi="Times New Roman" w:eastAsia="宋体"/>
                <w:kern w:val="0"/>
                <w:sz w:val="18"/>
                <w:szCs w:val="18"/>
              </w:rPr>
              <w:t>2012</w:t>
            </w:r>
          </w:p>
        </w:tc>
        <w:tc>
          <w:tcPr>
            <w:tcW w:w="2978"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kern w:val="0"/>
                <w:sz w:val="18"/>
                <w:szCs w:val="18"/>
              </w:rPr>
            </w:pPr>
            <w:r>
              <w:rPr>
                <w:rFonts w:ascii="Times New Roman" w:hAnsi="Times New Roman" w:eastAsia="宋体"/>
                <w:kern w:val="0"/>
                <w:sz w:val="18"/>
                <w:szCs w:val="18"/>
              </w:rPr>
              <w:t xml:space="preserve">519,322.10 </w:t>
            </w:r>
          </w:p>
        </w:tc>
        <w:tc>
          <w:tcPr>
            <w:tcW w:w="2320"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kern w:val="0"/>
                <w:sz w:val="18"/>
                <w:szCs w:val="18"/>
              </w:rPr>
            </w:pPr>
            <w:r>
              <w:rPr>
                <w:rFonts w:ascii="Times New Roman" w:hAnsi="Times New Roman" w:eastAsia="宋体"/>
                <w:kern w:val="0"/>
                <w:sz w:val="18"/>
                <w:szCs w:val="18"/>
              </w:rPr>
              <w:t xml:space="preserve">7.80 </w:t>
            </w:r>
          </w:p>
        </w:tc>
      </w:tr>
    </w:tbl>
    <w:p>
      <w:pPr>
        <w:spacing w:beforeLines="50" w:line="360" w:lineRule="auto"/>
        <w:ind w:right="360" w:firstLine="5856" w:firstLineChars="3050"/>
        <w:rPr>
          <w:rFonts w:ascii="Times New Roman" w:hAnsi="Times New Roman"/>
          <w:sz w:val="18"/>
          <w:szCs w:val="18"/>
        </w:rPr>
      </w:pPr>
      <w:r>
        <w:rPr>
          <w:rFonts w:ascii="Times New Roman" w:hAnsi="Times New Roman"/>
          <w:sz w:val="18"/>
          <w:szCs w:val="18"/>
        </w:rPr>
        <w:t>数据来源：wind资讯</w:t>
      </w:r>
    </w:p>
    <w:p>
      <w:pPr>
        <w:spacing w:beforeLines="100" w:line="360" w:lineRule="auto"/>
        <w:ind w:firstLine="584" w:firstLineChars="200"/>
        <w:rPr>
          <w:rFonts w:ascii="Times New Roman" w:hAnsi="Times New Roman"/>
          <w:sz w:val="28"/>
        </w:rPr>
      </w:pPr>
      <w:r>
        <w:rPr>
          <w:rFonts w:hint="eastAsia" w:ascii="Times New Roman" w:hAnsi="Times New Roman"/>
          <w:sz w:val="28"/>
        </w:rPr>
        <w:t>2、</w:t>
      </w:r>
      <w:r>
        <w:rPr>
          <w:rFonts w:ascii="Times New Roman" w:hAnsi="Times New Roman"/>
          <w:sz w:val="28"/>
        </w:rPr>
        <w:t>市场份额的预测</w:t>
      </w:r>
    </w:p>
    <w:p>
      <w:pPr>
        <w:spacing w:line="360" w:lineRule="auto"/>
        <w:ind w:firstLine="584" w:firstLineChars="200"/>
        <w:rPr>
          <w:rFonts w:ascii="Times New Roman" w:hAnsi="Times New Roman"/>
          <w:kern w:val="0"/>
          <w:sz w:val="28"/>
          <w:szCs w:val="28"/>
        </w:rPr>
      </w:pPr>
      <w:r>
        <w:rPr>
          <w:rFonts w:ascii="Times New Roman" w:hAnsi="Times New Roman"/>
          <w:sz w:val="28"/>
        </w:rPr>
        <w:t>市场份额与证券公司的经营政策、资金实力等相关，同时各个营业部之间也因为地区、运作经验、管理等多方面的因素各有不同。</w:t>
      </w:r>
    </w:p>
    <w:p>
      <w:pPr>
        <w:spacing w:line="360" w:lineRule="auto"/>
        <w:ind w:firstLine="584" w:firstLineChars="200"/>
        <w:rPr>
          <w:rFonts w:ascii="Times New Roman" w:hAnsi="Times New Roman"/>
          <w:sz w:val="28"/>
        </w:rPr>
      </w:pPr>
      <w:r>
        <w:rPr>
          <w:rFonts w:hint="eastAsia" w:ascii="Times New Roman" w:hAnsi="Times New Roman"/>
          <w:kern w:val="0"/>
          <w:sz w:val="28"/>
          <w:szCs w:val="28"/>
        </w:rPr>
        <w:t>x</w:t>
      </w:r>
      <w:r>
        <w:rPr>
          <w:rFonts w:ascii="Times New Roman" w:hAnsi="Times New Roman"/>
          <w:kern w:val="0"/>
          <w:sz w:val="28"/>
          <w:szCs w:val="28"/>
        </w:rPr>
        <w:t>x证券公司是一家经营稳定的金融企业，具有较稳定的客户资源、完备的管理体制、成熟的团队及较高的市场开拓能力，自成立以来一直保持了稳定的成长速度。20</w:t>
      </w:r>
      <w:r>
        <w:rPr>
          <w:rFonts w:hint="eastAsia" w:ascii="Times New Roman" w:hAnsi="Times New Roman"/>
          <w:kern w:val="0"/>
          <w:sz w:val="28"/>
          <w:szCs w:val="28"/>
        </w:rPr>
        <w:t>y</w:t>
      </w:r>
      <w:r>
        <w:rPr>
          <w:rFonts w:ascii="Times New Roman" w:hAnsi="Times New Roman"/>
          <w:kern w:val="0"/>
          <w:sz w:val="28"/>
          <w:szCs w:val="28"/>
        </w:rPr>
        <w:t>9年公司股票基金交易总金额为2,156.49亿元，20</w:t>
      </w:r>
      <w:r>
        <w:rPr>
          <w:rFonts w:hint="eastAsia" w:ascii="Times New Roman" w:hAnsi="Times New Roman"/>
          <w:kern w:val="0"/>
          <w:sz w:val="28"/>
          <w:szCs w:val="28"/>
        </w:rPr>
        <w:t>x</w:t>
      </w:r>
      <w:r>
        <w:rPr>
          <w:rFonts w:ascii="Times New Roman" w:hAnsi="Times New Roman"/>
          <w:kern w:val="0"/>
          <w:sz w:val="28"/>
          <w:szCs w:val="28"/>
        </w:rPr>
        <w:t>0年交易总金额为1,770.74亿元，20x1年交易总金额为2,042.35亿元，20x2年1-9月交易总金额为1,568.03亿元。</w:t>
      </w:r>
      <w:r>
        <w:rPr>
          <w:rFonts w:hint="eastAsia" w:ascii="Times New Roman" w:hAnsi="Times New Roman"/>
          <w:sz w:val="28"/>
        </w:rPr>
        <w:t>x</w:t>
      </w:r>
      <w:r>
        <w:rPr>
          <w:rFonts w:ascii="Times New Roman" w:hAnsi="Times New Roman"/>
          <w:sz w:val="28"/>
        </w:rPr>
        <w:t>x证券公司在20</w:t>
      </w:r>
      <w:r>
        <w:rPr>
          <w:rFonts w:hint="eastAsia" w:ascii="Times New Roman" w:hAnsi="Times New Roman"/>
          <w:sz w:val="28"/>
        </w:rPr>
        <w:t>y</w:t>
      </w:r>
      <w:r>
        <w:rPr>
          <w:rFonts w:ascii="Times New Roman" w:hAnsi="Times New Roman"/>
          <w:sz w:val="28"/>
        </w:rPr>
        <w:t>9-20</w:t>
      </w:r>
      <w:r>
        <w:rPr>
          <w:rFonts w:hint="eastAsia" w:ascii="Times New Roman" w:hAnsi="Times New Roman"/>
          <w:sz w:val="28"/>
        </w:rPr>
        <w:t>x</w:t>
      </w:r>
      <w:r>
        <w:rPr>
          <w:rFonts w:ascii="Times New Roman" w:hAnsi="Times New Roman"/>
          <w:sz w:val="28"/>
        </w:rPr>
        <w:t>2年市场份额分别为0.1988%、0.1608%、0.2406%、0.3688%，根据企业营销计划，预测20</w:t>
      </w:r>
      <w:r>
        <w:rPr>
          <w:rFonts w:hint="eastAsia" w:ascii="Times New Roman" w:hAnsi="Times New Roman"/>
          <w:sz w:val="28"/>
        </w:rPr>
        <w:t>x</w:t>
      </w:r>
      <w:r>
        <w:rPr>
          <w:rFonts w:ascii="Times New Roman" w:hAnsi="Times New Roman"/>
          <w:sz w:val="28"/>
        </w:rPr>
        <w:t>3年到20</w:t>
      </w:r>
      <w:r>
        <w:rPr>
          <w:rFonts w:hint="eastAsia" w:ascii="Times New Roman" w:hAnsi="Times New Roman"/>
          <w:sz w:val="28"/>
        </w:rPr>
        <w:t>x</w:t>
      </w:r>
      <w:r>
        <w:rPr>
          <w:rFonts w:ascii="Times New Roman" w:hAnsi="Times New Roman"/>
          <w:sz w:val="28"/>
        </w:rPr>
        <w:t>7年</w:t>
      </w:r>
      <w:r>
        <w:rPr>
          <w:rFonts w:hint="eastAsia" w:ascii="Times New Roman" w:hAnsi="Times New Roman"/>
          <w:sz w:val="28"/>
        </w:rPr>
        <w:t>xx</w:t>
      </w:r>
      <w:r>
        <w:rPr>
          <w:rFonts w:ascii="Times New Roman" w:hAnsi="Times New Roman"/>
          <w:sz w:val="28"/>
        </w:rPr>
        <w:t>证券市场份额每年将以6%的速度增长，分别达0.3909%、0.4144%、0.4393%、0.4657%、0.4936%，至20</w:t>
      </w:r>
      <w:r>
        <w:rPr>
          <w:rFonts w:hint="eastAsia" w:ascii="Times New Roman" w:hAnsi="Times New Roman"/>
          <w:sz w:val="28"/>
        </w:rPr>
        <w:t>x</w:t>
      </w:r>
      <w:r>
        <w:rPr>
          <w:rFonts w:ascii="Times New Roman" w:hAnsi="Times New Roman"/>
          <w:sz w:val="28"/>
        </w:rPr>
        <w:t>7之后稳定在0.4936%。</w:t>
      </w:r>
    </w:p>
    <w:p>
      <w:pPr>
        <w:tabs>
          <w:tab w:val="left" w:pos="2700"/>
        </w:tabs>
        <w:spacing w:line="360" w:lineRule="auto"/>
        <w:ind w:firstLine="561"/>
        <w:rPr>
          <w:rFonts w:ascii="Times New Roman" w:hAnsi="Times New Roman"/>
          <w:sz w:val="28"/>
        </w:rPr>
      </w:pPr>
      <w:r>
        <w:rPr>
          <w:rFonts w:hint="eastAsia" w:ascii="Times New Roman" w:hAnsi="Times New Roman"/>
          <w:sz w:val="28"/>
        </w:rPr>
        <w:t>3、</w:t>
      </w:r>
      <w:r>
        <w:rPr>
          <w:rFonts w:ascii="Times New Roman" w:hAnsi="Times New Roman"/>
          <w:sz w:val="28"/>
        </w:rPr>
        <w:t>平均佣金率的预测</w:t>
      </w:r>
    </w:p>
    <w:p>
      <w:pPr>
        <w:spacing w:line="360" w:lineRule="auto"/>
        <w:ind w:firstLine="584" w:firstLineChars="200"/>
        <w:rPr>
          <w:rFonts w:ascii="Times New Roman" w:hAnsi="Times New Roman"/>
          <w:sz w:val="28"/>
        </w:rPr>
      </w:pPr>
      <w:r>
        <w:rPr>
          <w:rFonts w:ascii="Times New Roman" w:hAnsi="Times New Roman"/>
          <w:sz w:val="28"/>
        </w:rPr>
        <w:t>各年的平均佣金率与证券市场的景气程度和临近营业部之间的竞争相关，根据xx证券公司的财务数据显示20</w:t>
      </w:r>
      <w:r>
        <w:rPr>
          <w:rFonts w:hint="eastAsia" w:ascii="Times New Roman" w:hAnsi="Times New Roman"/>
          <w:sz w:val="28"/>
        </w:rPr>
        <w:t>x</w:t>
      </w:r>
      <w:r>
        <w:rPr>
          <w:rFonts w:ascii="Times New Roman" w:hAnsi="Times New Roman"/>
          <w:sz w:val="28"/>
        </w:rPr>
        <w:t>2年1-9月其佣金费率水平为万分之8.0008。</w:t>
      </w:r>
    </w:p>
    <w:p>
      <w:pPr>
        <w:spacing w:line="360" w:lineRule="auto"/>
        <w:ind w:firstLine="584" w:firstLineChars="200"/>
        <w:rPr>
          <w:rFonts w:ascii="Times New Roman" w:hAnsi="Times New Roman"/>
          <w:sz w:val="28"/>
        </w:rPr>
      </w:pPr>
      <w:r>
        <w:rPr>
          <w:rFonts w:ascii="Times New Roman" w:hAnsi="Times New Roman"/>
          <w:sz w:val="28"/>
        </w:rPr>
        <w:t>由于xx证券公司的营业部设立在一线城市，客户均为高净值客户，具有较高的客户忠诚度，因此能保持较市场平均佣金率略高的水平，我们随着未来市场面临竞争的不断加剧，xx证券公司市场佣金率水平将保持在万分之八左右。</w:t>
      </w:r>
    </w:p>
    <w:p>
      <w:pPr>
        <w:spacing w:line="360" w:lineRule="auto"/>
        <w:ind w:firstLine="584" w:firstLineChars="200"/>
        <w:rPr>
          <w:rFonts w:ascii="Times New Roman" w:hAnsi="Times New Roman"/>
          <w:kern w:val="0"/>
          <w:sz w:val="28"/>
          <w:szCs w:val="28"/>
        </w:rPr>
      </w:pPr>
      <w:r>
        <w:rPr>
          <w:rFonts w:hint="eastAsia" w:ascii="Times New Roman" w:hAnsi="Times New Roman"/>
          <w:kern w:val="0"/>
          <w:sz w:val="28"/>
          <w:szCs w:val="28"/>
        </w:rPr>
        <w:t>4、</w:t>
      </w:r>
      <w:r>
        <w:rPr>
          <w:rFonts w:ascii="Times New Roman" w:hAnsi="Times New Roman"/>
          <w:kern w:val="0"/>
          <w:sz w:val="28"/>
          <w:szCs w:val="28"/>
        </w:rPr>
        <w:t>手续费及佣金支出</w:t>
      </w:r>
    </w:p>
    <w:p>
      <w:pPr>
        <w:spacing w:line="360" w:lineRule="auto"/>
        <w:ind w:firstLine="584" w:firstLineChars="200"/>
        <w:rPr>
          <w:rFonts w:ascii="Times New Roman" w:hAnsi="Times New Roman"/>
          <w:kern w:val="0"/>
          <w:sz w:val="28"/>
          <w:szCs w:val="28"/>
        </w:rPr>
      </w:pPr>
      <w:r>
        <w:rPr>
          <w:rFonts w:ascii="Times New Roman" w:hAnsi="Times New Roman"/>
          <w:kern w:val="0"/>
          <w:sz w:val="28"/>
          <w:szCs w:val="28"/>
        </w:rPr>
        <w:t>20x0年-20x2年前三季度</w:t>
      </w:r>
      <w:r>
        <w:rPr>
          <w:rFonts w:ascii="Times New Roman" w:hAnsi="Times New Roman"/>
          <w:sz w:val="28"/>
        </w:rPr>
        <w:t>xx证券公司</w:t>
      </w:r>
      <w:r>
        <w:rPr>
          <w:rFonts w:ascii="Times New Roman" w:hAnsi="Times New Roman"/>
          <w:kern w:val="0"/>
          <w:sz w:val="28"/>
          <w:szCs w:val="28"/>
        </w:rPr>
        <w:t>手续费及佣金支出占手续费佣金收入的比分别为3.44%、2.89%、3.04%。预计未来这一比例将保持在3.04%的水平。</w:t>
      </w:r>
    </w:p>
    <w:p>
      <w:pPr>
        <w:spacing w:line="360" w:lineRule="auto"/>
        <w:ind w:firstLine="584" w:firstLineChars="200"/>
        <w:rPr>
          <w:rFonts w:ascii="Times New Roman" w:hAnsi="Times New Roman"/>
          <w:sz w:val="28"/>
        </w:rPr>
      </w:pPr>
      <w:r>
        <w:rPr>
          <w:rFonts w:ascii="Times New Roman" w:hAnsi="Times New Roman"/>
          <w:sz w:val="28"/>
        </w:rPr>
        <w:t>通过上述参数计算xx证券公司20x2年第四季度到20x7年各年的证券经纪业务手续费及佣金净收入如下：</w:t>
      </w:r>
    </w:p>
    <w:p>
      <w:pPr>
        <w:spacing w:line="360" w:lineRule="auto"/>
        <w:ind w:firstLine="504" w:firstLineChars="200"/>
        <w:jc w:val="center"/>
        <w:rPr>
          <w:rFonts w:ascii="Times New Roman" w:hAnsi="Times New Roman" w:eastAsia="黑体"/>
          <w:sz w:val="24"/>
        </w:rPr>
      </w:pPr>
      <w:r>
        <w:rPr>
          <w:rFonts w:ascii="Times New Roman" w:hAnsi="Times New Roman" w:eastAsia="黑体"/>
          <w:sz w:val="24"/>
        </w:rPr>
        <w:t>证券经纪业务手续费及佣金净收入预测表</w:t>
      </w:r>
    </w:p>
    <w:p>
      <w:pPr>
        <w:spacing w:line="360" w:lineRule="auto"/>
        <w:ind w:firstLine="444" w:firstLineChars="200"/>
        <w:jc w:val="right"/>
        <w:rPr>
          <w:rFonts w:ascii="仿宋_GB2312" w:hAnsi="Times New Roman"/>
          <w:sz w:val="21"/>
          <w:szCs w:val="21"/>
        </w:rPr>
      </w:pPr>
      <w:r>
        <w:rPr>
          <w:rFonts w:hint="eastAsia" w:ascii="仿宋_GB2312" w:hAnsi="Times New Roman"/>
          <w:sz w:val="21"/>
          <w:szCs w:val="21"/>
        </w:rPr>
        <w:t>金额单位：人民币万元</w:t>
      </w:r>
    </w:p>
    <w:tbl>
      <w:tblPr>
        <w:tblStyle w:val="27"/>
        <w:tblW w:w="91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2"/>
        <w:gridCol w:w="1208"/>
        <w:gridCol w:w="1208"/>
        <w:gridCol w:w="1208"/>
        <w:gridCol w:w="1208"/>
        <w:gridCol w:w="1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3122" w:type="dxa"/>
            <w:vAlign w:val="center"/>
          </w:tcPr>
          <w:p>
            <w:pPr>
              <w:widowControl/>
              <w:spacing w:line="240" w:lineRule="auto"/>
              <w:jc w:val="center"/>
              <w:rPr>
                <w:rFonts w:ascii="Times New Roman" w:hAnsi="Times New Roman" w:eastAsia="宋体"/>
                <w:b/>
                <w:kern w:val="0"/>
                <w:sz w:val="18"/>
                <w:szCs w:val="18"/>
              </w:rPr>
            </w:pPr>
            <w:r>
              <w:rPr>
                <w:rFonts w:ascii="Times New Roman" w:hAnsi="Times New Roman" w:eastAsia="宋体"/>
                <w:b/>
                <w:kern w:val="0"/>
                <w:sz w:val="18"/>
                <w:szCs w:val="18"/>
              </w:rPr>
              <w:t>项目</w:t>
            </w:r>
          </w:p>
        </w:tc>
        <w:tc>
          <w:tcPr>
            <w:tcW w:w="1208" w:type="dxa"/>
            <w:vAlign w:val="center"/>
          </w:tcPr>
          <w:p>
            <w:pPr>
              <w:spacing w:line="240" w:lineRule="auto"/>
              <w:jc w:val="center"/>
              <w:rPr>
                <w:rFonts w:ascii="Times New Roman" w:hAnsi="Times New Roman" w:eastAsia="宋体"/>
                <w:b/>
                <w:sz w:val="18"/>
                <w:szCs w:val="18"/>
              </w:rPr>
            </w:pPr>
            <w:r>
              <w:rPr>
                <w:rFonts w:ascii="Times New Roman" w:hAnsi="Times New Roman" w:eastAsia="宋体"/>
                <w:b/>
                <w:sz w:val="18"/>
                <w:szCs w:val="18"/>
              </w:rPr>
              <w:t>20x3年</w:t>
            </w:r>
          </w:p>
        </w:tc>
        <w:tc>
          <w:tcPr>
            <w:tcW w:w="1208" w:type="dxa"/>
            <w:vAlign w:val="center"/>
          </w:tcPr>
          <w:p>
            <w:pPr>
              <w:spacing w:line="240" w:lineRule="auto"/>
              <w:jc w:val="center"/>
              <w:rPr>
                <w:rFonts w:ascii="Times New Roman" w:hAnsi="Times New Roman" w:eastAsia="宋体"/>
                <w:b/>
                <w:sz w:val="18"/>
                <w:szCs w:val="18"/>
              </w:rPr>
            </w:pPr>
            <w:r>
              <w:rPr>
                <w:rFonts w:ascii="Times New Roman" w:hAnsi="Times New Roman" w:eastAsia="宋体"/>
                <w:b/>
                <w:sz w:val="18"/>
                <w:szCs w:val="18"/>
              </w:rPr>
              <w:t>20x4年</w:t>
            </w:r>
          </w:p>
        </w:tc>
        <w:tc>
          <w:tcPr>
            <w:tcW w:w="1208" w:type="dxa"/>
            <w:vAlign w:val="center"/>
          </w:tcPr>
          <w:p>
            <w:pPr>
              <w:spacing w:line="240" w:lineRule="auto"/>
              <w:jc w:val="center"/>
              <w:rPr>
                <w:rFonts w:ascii="Times New Roman" w:hAnsi="Times New Roman" w:eastAsia="宋体"/>
                <w:b/>
                <w:sz w:val="18"/>
                <w:szCs w:val="18"/>
              </w:rPr>
            </w:pPr>
            <w:r>
              <w:rPr>
                <w:rFonts w:ascii="Times New Roman" w:hAnsi="Times New Roman" w:eastAsia="宋体"/>
                <w:b/>
                <w:sz w:val="18"/>
                <w:szCs w:val="18"/>
              </w:rPr>
              <w:t>20x5年</w:t>
            </w:r>
          </w:p>
        </w:tc>
        <w:tc>
          <w:tcPr>
            <w:tcW w:w="1208" w:type="dxa"/>
            <w:vAlign w:val="center"/>
          </w:tcPr>
          <w:p>
            <w:pPr>
              <w:spacing w:line="240" w:lineRule="auto"/>
              <w:jc w:val="center"/>
              <w:rPr>
                <w:rFonts w:ascii="Times New Roman" w:hAnsi="Times New Roman" w:eastAsia="宋体"/>
                <w:b/>
                <w:sz w:val="18"/>
                <w:szCs w:val="18"/>
              </w:rPr>
            </w:pPr>
            <w:r>
              <w:rPr>
                <w:rFonts w:ascii="Times New Roman" w:hAnsi="Times New Roman" w:eastAsia="宋体"/>
                <w:b/>
                <w:sz w:val="18"/>
                <w:szCs w:val="18"/>
              </w:rPr>
              <w:t>20x6年</w:t>
            </w:r>
          </w:p>
        </w:tc>
        <w:tc>
          <w:tcPr>
            <w:tcW w:w="1208" w:type="dxa"/>
            <w:vAlign w:val="center"/>
          </w:tcPr>
          <w:p>
            <w:pPr>
              <w:spacing w:line="240" w:lineRule="auto"/>
              <w:jc w:val="center"/>
              <w:rPr>
                <w:rFonts w:ascii="Times New Roman" w:hAnsi="Times New Roman" w:eastAsia="宋体"/>
                <w:b/>
                <w:sz w:val="18"/>
                <w:szCs w:val="18"/>
              </w:rPr>
            </w:pPr>
            <w:r>
              <w:rPr>
                <w:rFonts w:ascii="Times New Roman" w:hAnsi="Times New Roman" w:eastAsia="宋体"/>
                <w:b/>
                <w:sz w:val="18"/>
                <w:szCs w:val="18"/>
              </w:rPr>
              <w:t>20x7年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3122" w:type="dxa"/>
            <w:vAlign w:val="center"/>
          </w:tcPr>
          <w:p>
            <w:pPr>
              <w:widowControl/>
              <w:spacing w:line="240" w:lineRule="auto"/>
              <w:jc w:val="left"/>
              <w:rPr>
                <w:rFonts w:ascii="Times New Roman" w:hAnsi="Times New Roman" w:eastAsia="宋体"/>
                <w:kern w:val="0"/>
                <w:sz w:val="18"/>
                <w:szCs w:val="18"/>
              </w:rPr>
            </w:pPr>
            <w:r>
              <w:rPr>
                <w:rFonts w:ascii="Times New Roman" w:hAnsi="Times New Roman" w:eastAsia="宋体"/>
                <w:kern w:val="0"/>
                <w:sz w:val="18"/>
                <w:szCs w:val="18"/>
              </w:rPr>
              <w:t>1、A股市场成交额（亿元）</w:t>
            </w:r>
          </w:p>
        </w:tc>
        <w:tc>
          <w:tcPr>
            <w:tcW w:w="1208" w:type="dxa"/>
            <w:vAlign w:val="center"/>
          </w:tcPr>
          <w:p>
            <w:pPr>
              <w:spacing w:line="240" w:lineRule="auto"/>
              <w:jc w:val="right"/>
              <w:rPr>
                <w:rFonts w:ascii="Times New Roman" w:hAnsi="Times New Roman" w:eastAsia="宋体"/>
                <w:sz w:val="18"/>
                <w:szCs w:val="18"/>
              </w:rPr>
            </w:pPr>
            <w:r>
              <w:rPr>
                <w:rFonts w:ascii="Times New Roman" w:hAnsi="Times New Roman" w:eastAsia="宋体"/>
                <w:sz w:val="18"/>
                <w:szCs w:val="18"/>
              </w:rPr>
              <w:t>688,044.53</w:t>
            </w:r>
          </w:p>
        </w:tc>
        <w:tc>
          <w:tcPr>
            <w:tcW w:w="1208" w:type="dxa"/>
            <w:vAlign w:val="center"/>
          </w:tcPr>
          <w:p>
            <w:pPr>
              <w:spacing w:line="240" w:lineRule="auto"/>
              <w:jc w:val="right"/>
              <w:rPr>
                <w:rFonts w:ascii="Times New Roman" w:hAnsi="Times New Roman" w:eastAsia="宋体"/>
                <w:sz w:val="18"/>
                <w:szCs w:val="18"/>
              </w:rPr>
            </w:pPr>
            <w:r>
              <w:rPr>
                <w:rFonts w:ascii="Times New Roman" w:hAnsi="Times New Roman" w:eastAsia="宋体"/>
                <w:sz w:val="18"/>
                <w:szCs w:val="18"/>
              </w:rPr>
              <w:t>740,335.92</w:t>
            </w:r>
          </w:p>
        </w:tc>
        <w:tc>
          <w:tcPr>
            <w:tcW w:w="1208" w:type="dxa"/>
            <w:vAlign w:val="center"/>
          </w:tcPr>
          <w:p>
            <w:pPr>
              <w:spacing w:line="240" w:lineRule="auto"/>
              <w:jc w:val="right"/>
              <w:rPr>
                <w:rFonts w:ascii="Times New Roman" w:hAnsi="Times New Roman" w:eastAsia="宋体"/>
                <w:sz w:val="18"/>
                <w:szCs w:val="18"/>
              </w:rPr>
            </w:pPr>
            <w:r>
              <w:rPr>
                <w:rFonts w:ascii="Times New Roman" w:hAnsi="Times New Roman" w:eastAsia="宋体"/>
                <w:sz w:val="18"/>
                <w:szCs w:val="18"/>
              </w:rPr>
              <w:t>796,601.45</w:t>
            </w:r>
          </w:p>
        </w:tc>
        <w:tc>
          <w:tcPr>
            <w:tcW w:w="1208" w:type="dxa"/>
            <w:vAlign w:val="center"/>
          </w:tcPr>
          <w:p>
            <w:pPr>
              <w:spacing w:line="240" w:lineRule="auto"/>
              <w:jc w:val="right"/>
              <w:rPr>
                <w:rFonts w:ascii="Times New Roman" w:hAnsi="Times New Roman" w:eastAsia="宋体"/>
                <w:sz w:val="18"/>
                <w:szCs w:val="18"/>
              </w:rPr>
            </w:pPr>
            <w:r>
              <w:rPr>
                <w:rFonts w:ascii="Times New Roman" w:hAnsi="Times New Roman" w:eastAsia="宋体"/>
                <w:sz w:val="18"/>
                <w:szCs w:val="18"/>
              </w:rPr>
              <w:t>857,143.16</w:t>
            </w:r>
          </w:p>
        </w:tc>
        <w:tc>
          <w:tcPr>
            <w:tcW w:w="1208" w:type="dxa"/>
            <w:vAlign w:val="center"/>
          </w:tcPr>
          <w:p>
            <w:pPr>
              <w:spacing w:line="240" w:lineRule="auto"/>
              <w:jc w:val="right"/>
              <w:rPr>
                <w:rFonts w:ascii="Times New Roman" w:hAnsi="Times New Roman" w:eastAsia="宋体"/>
                <w:sz w:val="18"/>
                <w:szCs w:val="18"/>
              </w:rPr>
            </w:pPr>
            <w:r>
              <w:rPr>
                <w:rFonts w:ascii="Times New Roman" w:hAnsi="Times New Roman" w:eastAsia="宋体"/>
                <w:sz w:val="18"/>
                <w:szCs w:val="18"/>
              </w:rPr>
              <w:t>922,286.04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3122" w:type="dxa"/>
            <w:vAlign w:val="center"/>
          </w:tcPr>
          <w:p>
            <w:pPr>
              <w:widowControl/>
              <w:spacing w:line="240" w:lineRule="auto"/>
              <w:jc w:val="left"/>
              <w:rPr>
                <w:rFonts w:ascii="Times New Roman" w:hAnsi="Times New Roman" w:eastAsia="宋体"/>
                <w:kern w:val="0"/>
                <w:sz w:val="18"/>
                <w:szCs w:val="18"/>
              </w:rPr>
            </w:pPr>
            <w:r>
              <w:rPr>
                <w:rFonts w:ascii="Times New Roman" w:hAnsi="Times New Roman" w:eastAsia="宋体"/>
                <w:kern w:val="0"/>
                <w:sz w:val="18"/>
                <w:szCs w:val="18"/>
              </w:rPr>
              <w:t>2、xx证券公司市场份额</w:t>
            </w:r>
          </w:p>
        </w:tc>
        <w:tc>
          <w:tcPr>
            <w:tcW w:w="1208" w:type="dxa"/>
            <w:vAlign w:val="center"/>
          </w:tcPr>
          <w:p>
            <w:pPr>
              <w:spacing w:line="240" w:lineRule="auto"/>
              <w:jc w:val="right"/>
              <w:rPr>
                <w:rFonts w:ascii="Times New Roman" w:hAnsi="Times New Roman" w:eastAsia="宋体"/>
                <w:sz w:val="18"/>
                <w:szCs w:val="18"/>
              </w:rPr>
            </w:pPr>
            <w:r>
              <w:rPr>
                <w:rFonts w:ascii="Times New Roman" w:hAnsi="Times New Roman" w:eastAsia="宋体"/>
                <w:sz w:val="18"/>
                <w:szCs w:val="18"/>
              </w:rPr>
              <w:t>0.3909%</w:t>
            </w:r>
          </w:p>
        </w:tc>
        <w:tc>
          <w:tcPr>
            <w:tcW w:w="1208" w:type="dxa"/>
            <w:vAlign w:val="center"/>
          </w:tcPr>
          <w:p>
            <w:pPr>
              <w:spacing w:line="240" w:lineRule="auto"/>
              <w:jc w:val="right"/>
              <w:rPr>
                <w:rFonts w:ascii="Times New Roman" w:hAnsi="Times New Roman" w:eastAsia="宋体"/>
                <w:sz w:val="18"/>
                <w:szCs w:val="18"/>
              </w:rPr>
            </w:pPr>
            <w:r>
              <w:rPr>
                <w:rFonts w:ascii="Times New Roman" w:hAnsi="Times New Roman" w:eastAsia="宋体"/>
                <w:sz w:val="18"/>
                <w:szCs w:val="18"/>
              </w:rPr>
              <w:t>0.4144%</w:t>
            </w:r>
          </w:p>
        </w:tc>
        <w:tc>
          <w:tcPr>
            <w:tcW w:w="1208" w:type="dxa"/>
            <w:vAlign w:val="center"/>
          </w:tcPr>
          <w:p>
            <w:pPr>
              <w:spacing w:line="240" w:lineRule="auto"/>
              <w:jc w:val="right"/>
              <w:rPr>
                <w:rFonts w:ascii="Times New Roman" w:hAnsi="Times New Roman" w:eastAsia="宋体"/>
                <w:sz w:val="18"/>
                <w:szCs w:val="18"/>
              </w:rPr>
            </w:pPr>
            <w:r>
              <w:rPr>
                <w:rFonts w:ascii="Times New Roman" w:hAnsi="Times New Roman" w:eastAsia="宋体"/>
                <w:sz w:val="18"/>
                <w:szCs w:val="18"/>
              </w:rPr>
              <w:t>0.4393%</w:t>
            </w:r>
          </w:p>
        </w:tc>
        <w:tc>
          <w:tcPr>
            <w:tcW w:w="1208" w:type="dxa"/>
            <w:vAlign w:val="center"/>
          </w:tcPr>
          <w:p>
            <w:pPr>
              <w:spacing w:line="240" w:lineRule="auto"/>
              <w:jc w:val="right"/>
              <w:rPr>
                <w:rFonts w:ascii="Times New Roman" w:hAnsi="Times New Roman" w:eastAsia="宋体"/>
                <w:sz w:val="18"/>
                <w:szCs w:val="18"/>
              </w:rPr>
            </w:pPr>
            <w:r>
              <w:rPr>
                <w:rFonts w:ascii="Times New Roman" w:hAnsi="Times New Roman" w:eastAsia="宋体"/>
                <w:sz w:val="18"/>
                <w:szCs w:val="18"/>
              </w:rPr>
              <w:t>0.4657%</w:t>
            </w:r>
          </w:p>
        </w:tc>
        <w:tc>
          <w:tcPr>
            <w:tcW w:w="1208" w:type="dxa"/>
            <w:vAlign w:val="center"/>
          </w:tcPr>
          <w:p>
            <w:pPr>
              <w:spacing w:line="240" w:lineRule="auto"/>
              <w:jc w:val="right"/>
              <w:rPr>
                <w:rFonts w:ascii="Times New Roman" w:hAnsi="Times New Roman" w:eastAsia="宋体"/>
                <w:sz w:val="18"/>
                <w:szCs w:val="18"/>
              </w:rPr>
            </w:pPr>
            <w:r>
              <w:rPr>
                <w:rFonts w:ascii="Times New Roman" w:hAnsi="Times New Roman" w:eastAsia="宋体"/>
                <w:sz w:val="18"/>
                <w:szCs w:val="18"/>
              </w:rPr>
              <w:t>0.4936%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3122" w:type="dxa"/>
            <w:vAlign w:val="center"/>
          </w:tcPr>
          <w:p>
            <w:pPr>
              <w:widowControl/>
              <w:spacing w:line="240" w:lineRule="auto"/>
              <w:jc w:val="left"/>
              <w:rPr>
                <w:rFonts w:ascii="Times New Roman" w:hAnsi="Times New Roman" w:eastAsia="宋体"/>
                <w:kern w:val="0"/>
                <w:sz w:val="18"/>
                <w:szCs w:val="18"/>
              </w:rPr>
            </w:pPr>
            <w:r>
              <w:rPr>
                <w:rFonts w:ascii="Times New Roman" w:hAnsi="Times New Roman" w:eastAsia="宋体"/>
                <w:kern w:val="0"/>
                <w:sz w:val="18"/>
                <w:szCs w:val="18"/>
              </w:rPr>
              <w:t>3、平均佣金率（万分之）</w:t>
            </w:r>
          </w:p>
        </w:tc>
        <w:tc>
          <w:tcPr>
            <w:tcW w:w="1208" w:type="dxa"/>
            <w:vAlign w:val="center"/>
          </w:tcPr>
          <w:p>
            <w:pPr>
              <w:spacing w:line="240" w:lineRule="auto"/>
              <w:jc w:val="right"/>
              <w:rPr>
                <w:rFonts w:ascii="Times New Roman" w:hAnsi="Times New Roman" w:eastAsia="宋体"/>
                <w:sz w:val="18"/>
                <w:szCs w:val="18"/>
              </w:rPr>
            </w:pPr>
            <w:r>
              <w:rPr>
                <w:rFonts w:ascii="Times New Roman" w:hAnsi="Times New Roman" w:eastAsia="宋体"/>
                <w:sz w:val="18"/>
                <w:szCs w:val="18"/>
              </w:rPr>
              <w:t>8.00</w:t>
            </w:r>
          </w:p>
        </w:tc>
        <w:tc>
          <w:tcPr>
            <w:tcW w:w="1208" w:type="dxa"/>
            <w:vAlign w:val="center"/>
          </w:tcPr>
          <w:p>
            <w:pPr>
              <w:spacing w:line="240" w:lineRule="auto"/>
              <w:jc w:val="right"/>
              <w:rPr>
                <w:rFonts w:ascii="Times New Roman" w:hAnsi="Times New Roman" w:eastAsia="宋体"/>
                <w:sz w:val="18"/>
                <w:szCs w:val="18"/>
              </w:rPr>
            </w:pPr>
            <w:r>
              <w:rPr>
                <w:rFonts w:ascii="Times New Roman" w:hAnsi="Times New Roman" w:eastAsia="宋体"/>
                <w:sz w:val="18"/>
                <w:szCs w:val="18"/>
              </w:rPr>
              <w:t>8.00</w:t>
            </w:r>
          </w:p>
        </w:tc>
        <w:tc>
          <w:tcPr>
            <w:tcW w:w="1208" w:type="dxa"/>
            <w:vAlign w:val="center"/>
          </w:tcPr>
          <w:p>
            <w:pPr>
              <w:spacing w:line="240" w:lineRule="auto"/>
              <w:jc w:val="right"/>
              <w:rPr>
                <w:rFonts w:ascii="Times New Roman" w:hAnsi="Times New Roman" w:eastAsia="宋体"/>
                <w:sz w:val="18"/>
                <w:szCs w:val="18"/>
              </w:rPr>
            </w:pPr>
            <w:r>
              <w:rPr>
                <w:rFonts w:ascii="Times New Roman" w:hAnsi="Times New Roman" w:eastAsia="宋体"/>
                <w:sz w:val="18"/>
                <w:szCs w:val="18"/>
              </w:rPr>
              <w:t>8.00</w:t>
            </w:r>
          </w:p>
        </w:tc>
        <w:tc>
          <w:tcPr>
            <w:tcW w:w="1208" w:type="dxa"/>
            <w:vAlign w:val="center"/>
          </w:tcPr>
          <w:p>
            <w:pPr>
              <w:spacing w:line="240" w:lineRule="auto"/>
              <w:jc w:val="right"/>
              <w:rPr>
                <w:rFonts w:ascii="Times New Roman" w:hAnsi="Times New Roman" w:eastAsia="宋体"/>
                <w:sz w:val="18"/>
                <w:szCs w:val="18"/>
              </w:rPr>
            </w:pPr>
            <w:r>
              <w:rPr>
                <w:rFonts w:ascii="Times New Roman" w:hAnsi="Times New Roman" w:eastAsia="宋体"/>
                <w:sz w:val="18"/>
                <w:szCs w:val="18"/>
              </w:rPr>
              <w:t>8.00</w:t>
            </w:r>
          </w:p>
        </w:tc>
        <w:tc>
          <w:tcPr>
            <w:tcW w:w="1208" w:type="dxa"/>
            <w:vAlign w:val="center"/>
          </w:tcPr>
          <w:p>
            <w:pPr>
              <w:spacing w:line="240" w:lineRule="auto"/>
              <w:jc w:val="right"/>
              <w:rPr>
                <w:rFonts w:ascii="Times New Roman" w:hAnsi="Times New Roman" w:eastAsia="宋体"/>
                <w:sz w:val="18"/>
                <w:szCs w:val="18"/>
              </w:rPr>
            </w:pPr>
            <w:r>
              <w:rPr>
                <w:rFonts w:ascii="Times New Roman" w:hAnsi="Times New Roman" w:eastAsia="宋体"/>
                <w:sz w:val="18"/>
                <w:szCs w:val="18"/>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3122" w:type="dxa"/>
            <w:vAlign w:val="center"/>
          </w:tcPr>
          <w:p>
            <w:pPr>
              <w:widowControl/>
              <w:spacing w:line="240" w:lineRule="auto"/>
              <w:jc w:val="left"/>
              <w:rPr>
                <w:rFonts w:ascii="Times New Roman" w:hAnsi="Times New Roman" w:eastAsia="宋体"/>
                <w:kern w:val="0"/>
                <w:sz w:val="18"/>
                <w:szCs w:val="18"/>
              </w:rPr>
            </w:pPr>
            <w:r>
              <w:rPr>
                <w:rFonts w:ascii="Times New Roman" w:hAnsi="Times New Roman" w:eastAsia="宋体"/>
                <w:kern w:val="0"/>
                <w:sz w:val="18"/>
                <w:szCs w:val="18"/>
              </w:rPr>
              <w:t>4、证券经纪业务手续费收入</w:t>
            </w:r>
          </w:p>
        </w:tc>
        <w:tc>
          <w:tcPr>
            <w:tcW w:w="1208" w:type="dxa"/>
            <w:vAlign w:val="center"/>
          </w:tcPr>
          <w:p>
            <w:pPr>
              <w:spacing w:line="240" w:lineRule="auto"/>
              <w:jc w:val="right"/>
              <w:rPr>
                <w:rFonts w:ascii="Times New Roman" w:hAnsi="Times New Roman" w:eastAsia="宋体"/>
                <w:sz w:val="18"/>
                <w:szCs w:val="18"/>
              </w:rPr>
            </w:pPr>
            <w:r>
              <w:rPr>
                <w:rFonts w:ascii="Times New Roman" w:hAnsi="Times New Roman" w:eastAsia="宋体"/>
                <w:sz w:val="18"/>
                <w:szCs w:val="18"/>
              </w:rPr>
              <w:t>21,516.53</w:t>
            </w:r>
          </w:p>
        </w:tc>
        <w:tc>
          <w:tcPr>
            <w:tcW w:w="1208" w:type="dxa"/>
            <w:vAlign w:val="center"/>
          </w:tcPr>
          <w:p>
            <w:pPr>
              <w:spacing w:line="240" w:lineRule="auto"/>
              <w:jc w:val="right"/>
              <w:rPr>
                <w:rFonts w:ascii="Times New Roman" w:hAnsi="Times New Roman" w:eastAsia="宋体"/>
                <w:sz w:val="18"/>
                <w:szCs w:val="18"/>
              </w:rPr>
            </w:pPr>
            <w:r>
              <w:rPr>
                <w:rFonts w:ascii="Times New Roman" w:hAnsi="Times New Roman" w:eastAsia="宋体"/>
                <w:sz w:val="18"/>
                <w:szCs w:val="18"/>
              </w:rPr>
              <w:t>24,543.62</w:t>
            </w:r>
          </w:p>
        </w:tc>
        <w:tc>
          <w:tcPr>
            <w:tcW w:w="1208" w:type="dxa"/>
            <w:vAlign w:val="center"/>
          </w:tcPr>
          <w:p>
            <w:pPr>
              <w:spacing w:line="240" w:lineRule="auto"/>
              <w:jc w:val="right"/>
              <w:rPr>
                <w:rFonts w:ascii="Times New Roman" w:hAnsi="Times New Roman" w:eastAsia="宋体"/>
                <w:sz w:val="18"/>
                <w:szCs w:val="18"/>
              </w:rPr>
            </w:pPr>
            <w:r>
              <w:rPr>
                <w:rFonts w:ascii="Times New Roman" w:hAnsi="Times New Roman" w:eastAsia="宋体"/>
                <w:sz w:val="18"/>
                <w:szCs w:val="18"/>
              </w:rPr>
              <w:t>27,995.76</w:t>
            </w:r>
          </w:p>
        </w:tc>
        <w:tc>
          <w:tcPr>
            <w:tcW w:w="1208" w:type="dxa"/>
            <w:vAlign w:val="center"/>
          </w:tcPr>
          <w:p>
            <w:pPr>
              <w:spacing w:line="240" w:lineRule="auto"/>
              <w:jc w:val="right"/>
              <w:rPr>
                <w:rFonts w:ascii="Times New Roman" w:hAnsi="Times New Roman" w:eastAsia="宋体"/>
                <w:sz w:val="18"/>
                <w:szCs w:val="18"/>
              </w:rPr>
            </w:pPr>
            <w:r>
              <w:rPr>
                <w:rFonts w:ascii="Times New Roman" w:hAnsi="Times New Roman" w:eastAsia="宋体"/>
                <w:sz w:val="18"/>
                <w:szCs w:val="18"/>
              </w:rPr>
              <w:t>31,933.73</w:t>
            </w:r>
          </w:p>
        </w:tc>
        <w:tc>
          <w:tcPr>
            <w:tcW w:w="1208" w:type="dxa"/>
            <w:vAlign w:val="center"/>
          </w:tcPr>
          <w:p>
            <w:pPr>
              <w:spacing w:line="240" w:lineRule="auto"/>
              <w:jc w:val="right"/>
              <w:rPr>
                <w:rFonts w:ascii="Times New Roman" w:hAnsi="Times New Roman" w:eastAsia="宋体"/>
                <w:sz w:val="18"/>
                <w:szCs w:val="18"/>
              </w:rPr>
            </w:pPr>
            <w:r>
              <w:rPr>
                <w:rFonts w:ascii="Times New Roman" w:hAnsi="Times New Roman" w:eastAsia="宋体"/>
                <w:sz w:val="18"/>
                <w:szCs w:val="18"/>
              </w:rPr>
              <w:t>36,419.23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3122" w:type="dxa"/>
            <w:vAlign w:val="center"/>
          </w:tcPr>
          <w:p>
            <w:pPr>
              <w:widowControl/>
              <w:spacing w:line="240" w:lineRule="auto"/>
              <w:jc w:val="left"/>
              <w:rPr>
                <w:rFonts w:ascii="Times New Roman" w:hAnsi="Times New Roman" w:eastAsia="宋体"/>
                <w:kern w:val="0"/>
                <w:sz w:val="18"/>
                <w:szCs w:val="18"/>
              </w:rPr>
            </w:pPr>
            <w:r>
              <w:rPr>
                <w:rFonts w:ascii="Times New Roman" w:hAnsi="Times New Roman" w:eastAsia="宋体"/>
                <w:kern w:val="0"/>
                <w:sz w:val="18"/>
                <w:szCs w:val="18"/>
              </w:rPr>
              <w:t>5、手续费率</w:t>
            </w:r>
          </w:p>
        </w:tc>
        <w:tc>
          <w:tcPr>
            <w:tcW w:w="1208" w:type="dxa"/>
            <w:vAlign w:val="center"/>
          </w:tcPr>
          <w:p>
            <w:pPr>
              <w:spacing w:line="240" w:lineRule="auto"/>
              <w:jc w:val="right"/>
              <w:rPr>
                <w:rFonts w:ascii="Times New Roman" w:hAnsi="Times New Roman" w:eastAsia="宋体"/>
                <w:sz w:val="18"/>
                <w:szCs w:val="18"/>
              </w:rPr>
            </w:pPr>
            <w:r>
              <w:rPr>
                <w:rFonts w:ascii="Times New Roman" w:hAnsi="Times New Roman" w:eastAsia="宋体"/>
                <w:sz w:val="18"/>
                <w:szCs w:val="18"/>
              </w:rPr>
              <w:t>3.04%</w:t>
            </w:r>
          </w:p>
        </w:tc>
        <w:tc>
          <w:tcPr>
            <w:tcW w:w="1208" w:type="dxa"/>
            <w:vAlign w:val="center"/>
          </w:tcPr>
          <w:p>
            <w:pPr>
              <w:spacing w:line="240" w:lineRule="auto"/>
              <w:jc w:val="right"/>
              <w:rPr>
                <w:rFonts w:ascii="Times New Roman" w:hAnsi="Times New Roman" w:eastAsia="宋体"/>
                <w:sz w:val="18"/>
                <w:szCs w:val="18"/>
              </w:rPr>
            </w:pPr>
            <w:r>
              <w:rPr>
                <w:rFonts w:ascii="Times New Roman" w:hAnsi="Times New Roman" w:eastAsia="宋体"/>
                <w:sz w:val="18"/>
                <w:szCs w:val="18"/>
              </w:rPr>
              <w:t>3.04%</w:t>
            </w:r>
          </w:p>
        </w:tc>
        <w:tc>
          <w:tcPr>
            <w:tcW w:w="1208" w:type="dxa"/>
            <w:vAlign w:val="center"/>
          </w:tcPr>
          <w:p>
            <w:pPr>
              <w:spacing w:line="240" w:lineRule="auto"/>
              <w:jc w:val="right"/>
              <w:rPr>
                <w:rFonts w:ascii="Times New Roman" w:hAnsi="Times New Roman" w:eastAsia="宋体"/>
                <w:sz w:val="18"/>
                <w:szCs w:val="18"/>
              </w:rPr>
            </w:pPr>
            <w:r>
              <w:rPr>
                <w:rFonts w:ascii="Times New Roman" w:hAnsi="Times New Roman" w:eastAsia="宋体"/>
                <w:sz w:val="18"/>
                <w:szCs w:val="18"/>
              </w:rPr>
              <w:t>3.04%</w:t>
            </w:r>
          </w:p>
        </w:tc>
        <w:tc>
          <w:tcPr>
            <w:tcW w:w="1208" w:type="dxa"/>
            <w:vAlign w:val="center"/>
          </w:tcPr>
          <w:p>
            <w:pPr>
              <w:spacing w:line="240" w:lineRule="auto"/>
              <w:jc w:val="right"/>
              <w:rPr>
                <w:rFonts w:ascii="Times New Roman" w:hAnsi="Times New Roman" w:eastAsia="宋体"/>
                <w:sz w:val="18"/>
                <w:szCs w:val="18"/>
              </w:rPr>
            </w:pPr>
            <w:r>
              <w:rPr>
                <w:rFonts w:ascii="Times New Roman" w:hAnsi="Times New Roman" w:eastAsia="宋体"/>
                <w:sz w:val="18"/>
                <w:szCs w:val="18"/>
              </w:rPr>
              <w:t>3.04%</w:t>
            </w:r>
          </w:p>
        </w:tc>
        <w:tc>
          <w:tcPr>
            <w:tcW w:w="1208" w:type="dxa"/>
            <w:vAlign w:val="center"/>
          </w:tcPr>
          <w:p>
            <w:pPr>
              <w:spacing w:line="240" w:lineRule="auto"/>
              <w:jc w:val="right"/>
              <w:rPr>
                <w:rFonts w:ascii="Times New Roman" w:hAnsi="Times New Roman" w:eastAsia="宋体"/>
                <w:sz w:val="18"/>
                <w:szCs w:val="18"/>
              </w:rPr>
            </w:pPr>
            <w:r>
              <w:rPr>
                <w:rFonts w:ascii="Times New Roman" w:hAnsi="Times New Roman" w:eastAsia="宋体"/>
                <w:sz w:val="18"/>
                <w:szCs w:val="18"/>
              </w:rPr>
              <w:t>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3122" w:type="dxa"/>
            <w:vAlign w:val="center"/>
          </w:tcPr>
          <w:p>
            <w:pPr>
              <w:widowControl/>
              <w:spacing w:line="240" w:lineRule="auto"/>
              <w:jc w:val="left"/>
              <w:rPr>
                <w:rFonts w:ascii="Times New Roman" w:hAnsi="Times New Roman" w:eastAsia="宋体"/>
                <w:kern w:val="0"/>
                <w:sz w:val="18"/>
                <w:szCs w:val="18"/>
              </w:rPr>
            </w:pPr>
            <w:r>
              <w:rPr>
                <w:rFonts w:ascii="Times New Roman" w:hAnsi="Times New Roman" w:eastAsia="宋体"/>
                <w:kern w:val="0"/>
                <w:sz w:val="18"/>
                <w:szCs w:val="18"/>
              </w:rPr>
              <w:t>6、证券经纪业务手续费支出</w:t>
            </w:r>
          </w:p>
        </w:tc>
        <w:tc>
          <w:tcPr>
            <w:tcW w:w="1208" w:type="dxa"/>
            <w:vAlign w:val="center"/>
          </w:tcPr>
          <w:p>
            <w:pPr>
              <w:spacing w:line="240" w:lineRule="auto"/>
              <w:jc w:val="right"/>
              <w:rPr>
                <w:rFonts w:ascii="Times New Roman" w:hAnsi="Times New Roman" w:eastAsia="宋体"/>
                <w:sz w:val="18"/>
                <w:szCs w:val="18"/>
              </w:rPr>
            </w:pPr>
            <w:r>
              <w:rPr>
                <w:rFonts w:ascii="Times New Roman" w:hAnsi="Times New Roman" w:eastAsia="宋体"/>
                <w:sz w:val="18"/>
                <w:szCs w:val="18"/>
              </w:rPr>
              <w:t>654.10</w:t>
            </w:r>
          </w:p>
        </w:tc>
        <w:tc>
          <w:tcPr>
            <w:tcW w:w="1208" w:type="dxa"/>
            <w:vAlign w:val="center"/>
          </w:tcPr>
          <w:p>
            <w:pPr>
              <w:spacing w:line="240" w:lineRule="auto"/>
              <w:jc w:val="right"/>
              <w:rPr>
                <w:rFonts w:ascii="Times New Roman" w:hAnsi="Times New Roman" w:eastAsia="宋体"/>
                <w:sz w:val="18"/>
                <w:szCs w:val="18"/>
              </w:rPr>
            </w:pPr>
            <w:r>
              <w:rPr>
                <w:rFonts w:ascii="Times New Roman" w:hAnsi="Times New Roman" w:eastAsia="宋体"/>
                <w:sz w:val="18"/>
                <w:szCs w:val="18"/>
              </w:rPr>
              <w:t>746.13</w:t>
            </w:r>
          </w:p>
        </w:tc>
        <w:tc>
          <w:tcPr>
            <w:tcW w:w="1208" w:type="dxa"/>
            <w:vAlign w:val="center"/>
          </w:tcPr>
          <w:p>
            <w:pPr>
              <w:spacing w:line="240" w:lineRule="auto"/>
              <w:jc w:val="right"/>
              <w:rPr>
                <w:rFonts w:ascii="Times New Roman" w:hAnsi="Times New Roman" w:eastAsia="宋体"/>
                <w:sz w:val="18"/>
                <w:szCs w:val="18"/>
              </w:rPr>
            </w:pPr>
            <w:r>
              <w:rPr>
                <w:rFonts w:ascii="Times New Roman" w:hAnsi="Times New Roman" w:eastAsia="宋体"/>
                <w:sz w:val="18"/>
                <w:szCs w:val="18"/>
              </w:rPr>
              <w:t>851.07</w:t>
            </w:r>
          </w:p>
        </w:tc>
        <w:tc>
          <w:tcPr>
            <w:tcW w:w="1208" w:type="dxa"/>
            <w:vAlign w:val="center"/>
          </w:tcPr>
          <w:p>
            <w:pPr>
              <w:spacing w:line="240" w:lineRule="auto"/>
              <w:jc w:val="right"/>
              <w:rPr>
                <w:rFonts w:ascii="Times New Roman" w:hAnsi="Times New Roman" w:eastAsia="宋体"/>
                <w:sz w:val="18"/>
                <w:szCs w:val="18"/>
              </w:rPr>
            </w:pPr>
            <w:r>
              <w:rPr>
                <w:rFonts w:ascii="Times New Roman" w:hAnsi="Times New Roman" w:eastAsia="宋体"/>
                <w:sz w:val="18"/>
                <w:szCs w:val="18"/>
              </w:rPr>
              <w:t>970.79</w:t>
            </w:r>
          </w:p>
        </w:tc>
        <w:tc>
          <w:tcPr>
            <w:tcW w:w="1208" w:type="dxa"/>
            <w:vAlign w:val="center"/>
          </w:tcPr>
          <w:p>
            <w:pPr>
              <w:spacing w:line="240" w:lineRule="auto"/>
              <w:jc w:val="right"/>
              <w:rPr>
                <w:rFonts w:ascii="Times New Roman" w:hAnsi="Times New Roman" w:eastAsia="宋体"/>
                <w:sz w:val="18"/>
                <w:szCs w:val="18"/>
              </w:rPr>
            </w:pPr>
            <w:r>
              <w:rPr>
                <w:rFonts w:ascii="Times New Roman" w:hAnsi="Times New Roman" w:eastAsia="宋体"/>
                <w:sz w:val="18"/>
                <w:szCs w:val="18"/>
              </w:rPr>
              <w:t>1,107.14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3122" w:type="dxa"/>
            <w:vAlign w:val="center"/>
          </w:tcPr>
          <w:p>
            <w:pPr>
              <w:widowControl/>
              <w:spacing w:line="240" w:lineRule="auto"/>
              <w:jc w:val="left"/>
              <w:rPr>
                <w:rFonts w:ascii="Times New Roman" w:hAnsi="Times New Roman" w:eastAsia="宋体"/>
                <w:kern w:val="0"/>
                <w:sz w:val="18"/>
                <w:szCs w:val="18"/>
              </w:rPr>
            </w:pPr>
            <w:r>
              <w:rPr>
                <w:rFonts w:ascii="Times New Roman" w:hAnsi="Times New Roman" w:eastAsia="宋体"/>
                <w:kern w:val="0"/>
                <w:sz w:val="18"/>
                <w:szCs w:val="18"/>
              </w:rPr>
              <w:t>7、证券经纪业务手续费净收入</w:t>
            </w:r>
          </w:p>
        </w:tc>
        <w:tc>
          <w:tcPr>
            <w:tcW w:w="1208" w:type="dxa"/>
            <w:vAlign w:val="center"/>
          </w:tcPr>
          <w:p>
            <w:pPr>
              <w:spacing w:line="240" w:lineRule="auto"/>
              <w:jc w:val="right"/>
              <w:rPr>
                <w:rFonts w:ascii="Times New Roman" w:hAnsi="Times New Roman" w:eastAsia="宋体"/>
                <w:sz w:val="18"/>
                <w:szCs w:val="18"/>
              </w:rPr>
            </w:pPr>
            <w:r>
              <w:rPr>
                <w:rFonts w:ascii="Times New Roman" w:hAnsi="Times New Roman" w:eastAsia="宋体"/>
                <w:sz w:val="18"/>
                <w:szCs w:val="18"/>
              </w:rPr>
              <w:t>20,862.43</w:t>
            </w:r>
          </w:p>
        </w:tc>
        <w:tc>
          <w:tcPr>
            <w:tcW w:w="1208" w:type="dxa"/>
            <w:vAlign w:val="center"/>
          </w:tcPr>
          <w:p>
            <w:pPr>
              <w:spacing w:line="240" w:lineRule="auto"/>
              <w:jc w:val="right"/>
              <w:rPr>
                <w:rFonts w:ascii="Times New Roman" w:hAnsi="Times New Roman" w:eastAsia="宋体"/>
                <w:sz w:val="18"/>
                <w:szCs w:val="18"/>
              </w:rPr>
            </w:pPr>
            <w:r>
              <w:rPr>
                <w:rFonts w:ascii="Times New Roman" w:hAnsi="Times New Roman" w:eastAsia="宋体"/>
                <w:sz w:val="18"/>
                <w:szCs w:val="18"/>
              </w:rPr>
              <w:t>23,797.49</w:t>
            </w:r>
          </w:p>
        </w:tc>
        <w:tc>
          <w:tcPr>
            <w:tcW w:w="1208" w:type="dxa"/>
            <w:vAlign w:val="center"/>
          </w:tcPr>
          <w:p>
            <w:pPr>
              <w:spacing w:line="240" w:lineRule="auto"/>
              <w:jc w:val="right"/>
              <w:rPr>
                <w:rFonts w:ascii="Times New Roman" w:hAnsi="Times New Roman" w:eastAsia="宋体"/>
                <w:sz w:val="18"/>
                <w:szCs w:val="18"/>
              </w:rPr>
            </w:pPr>
            <w:r>
              <w:rPr>
                <w:rFonts w:ascii="Times New Roman" w:hAnsi="Times New Roman" w:eastAsia="宋体"/>
                <w:sz w:val="18"/>
                <w:szCs w:val="18"/>
              </w:rPr>
              <w:t>27,144.69</w:t>
            </w:r>
          </w:p>
        </w:tc>
        <w:tc>
          <w:tcPr>
            <w:tcW w:w="1208" w:type="dxa"/>
            <w:vAlign w:val="center"/>
          </w:tcPr>
          <w:p>
            <w:pPr>
              <w:spacing w:line="240" w:lineRule="auto"/>
              <w:jc w:val="right"/>
              <w:rPr>
                <w:rFonts w:ascii="Times New Roman" w:hAnsi="Times New Roman" w:eastAsia="宋体"/>
                <w:sz w:val="18"/>
                <w:szCs w:val="18"/>
              </w:rPr>
            </w:pPr>
            <w:r>
              <w:rPr>
                <w:rFonts w:ascii="Times New Roman" w:hAnsi="Times New Roman" w:eastAsia="宋体"/>
                <w:sz w:val="18"/>
                <w:szCs w:val="18"/>
              </w:rPr>
              <w:t>30,962.94</w:t>
            </w:r>
          </w:p>
        </w:tc>
        <w:tc>
          <w:tcPr>
            <w:tcW w:w="1208" w:type="dxa"/>
            <w:vAlign w:val="center"/>
          </w:tcPr>
          <w:p>
            <w:pPr>
              <w:spacing w:line="240" w:lineRule="auto"/>
              <w:jc w:val="right"/>
              <w:rPr>
                <w:rFonts w:ascii="Times New Roman" w:hAnsi="Times New Roman" w:eastAsia="宋体"/>
                <w:sz w:val="18"/>
                <w:szCs w:val="18"/>
              </w:rPr>
            </w:pPr>
            <w:r>
              <w:rPr>
                <w:rFonts w:ascii="Times New Roman" w:hAnsi="Times New Roman" w:eastAsia="宋体"/>
                <w:sz w:val="18"/>
                <w:szCs w:val="18"/>
              </w:rPr>
              <w:t>35,312.09</w:t>
            </w:r>
          </w:p>
        </w:tc>
      </w:tr>
    </w:tbl>
    <w:p>
      <w:pPr>
        <w:spacing w:line="360" w:lineRule="auto"/>
        <w:rPr>
          <w:rFonts w:ascii="Times New Roman" w:hAnsi="Times New Roman"/>
          <w:sz w:val="32"/>
          <w:szCs w:val="32"/>
        </w:rPr>
      </w:pPr>
    </w:p>
    <w:p>
      <w:pPr>
        <w:spacing w:line="360" w:lineRule="auto"/>
        <w:rPr>
          <w:rFonts w:ascii="Times New Roman" w:hAnsi="Times New Roman"/>
          <w:sz w:val="32"/>
          <w:szCs w:val="32"/>
        </w:rPr>
      </w:pPr>
    </w:p>
    <w:p>
      <w:pPr>
        <w:widowControl/>
        <w:spacing w:line="240" w:lineRule="auto"/>
        <w:jc w:val="left"/>
        <w:rPr>
          <w:rFonts w:ascii="Times New Roman" w:hAnsi="Times New Roman"/>
          <w:sz w:val="32"/>
          <w:szCs w:val="32"/>
        </w:rPr>
      </w:pPr>
    </w:p>
    <w:p>
      <w:pPr>
        <w:spacing w:line="360" w:lineRule="auto"/>
        <w:ind w:firstLine="638" w:firstLineChars="200"/>
        <w:outlineLvl w:val="0"/>
        <w:rPr>
          <w:rFonts w:ascii="Times New Roman" w:hAnsi="Times New Roman"/>
          <w:b/>
          <w:spacing w:val="-1"/>
          <w:sz w:val="32"/>
          <w:szCs w:val="32"/>
          <w:lang w:val="zh-TW" w:eastAsia="zh-TW"/>
        </w:rPr>
      </w:pPr>
      <w:r>
        <w:rPr>
          <w:rFonts w:ascii="Times New Roman" w:hAnsi="Times New Roman"/>
          <w:b/>
          <w:spacing w:val="-1"/>
          <w:sz w:val="32"/>
          <w:szCs w:val="32"/>
          <w:lang w:val="zh-TW" w:eastAsia="zh-TW"/>
        </w:rPr>
        <w:t>案例</w:t>
      </w:r>
      <w:r>
        <w:rPr>
          <w:rFonts w:hint="eastAsia" w:ascii="Times New Roman" w:hAnsi="Times New Roman"/>
          <w:b/>
          <w:spacing w:val="-1"/>
          <w:sz w:val="32"/>
          <w:szCs w:val="32"/>
          <w:lang w:val="zh-TW"/>
        </w:rPr>
        <w:t>五</w:t>
      </w:r>
      <w:r>
        <w:rPr>
          <w:rFonts w:ascii="Times New Roman" w:hAnsi="Times New Roman"/>
          <w:b/>
          <w:spacing w:val="-1"/>
          <w:sz w:val="32"/>
          <w:szCs w:val="32"/>
          <w:lang w:val="zh-TW" w:eastAsia="zh-TW"/>
        </w:rPr>
        <w:t>：保险公司的已赚保费的预测</w:t>
      </w:r>
    </w:p>
    <w:p>
      <w:pPr>
        <w:spacing w:line="360" w:lineRule="auto"/>
        <w:ind w:firstLine="584" w:firstLineChars="200"/>
        <w:rPr>
          <w:rFonts w:ascii="Times New Roman" w:hAnsi="Times New Roman"/>
          <w:sz w:val="28"/>
        </w:rPr>
      </w:pPr>
      <w:r>
        <w:rPr>
          <w:rFonts w:ascii="Times New Roman" w:hAnsi="Times New Roman"/>
          <w:sz w:val="28"/>
        </w:rPr>
        <w:t>已赚保费=保险业务收入-分出保费-提取未到期责任准备金</w:t>
      </w:r>
    </w:p>
    <w:p>
      <w:pPr>
        <w:spacing w:line="360" w:lineRule="auto"/>
        <w:ind w:firstLine="584" w:firstLineChars="200"/>
        <w:rPr>
          <w:rFonts w:ascii="Times New Roman" w:hAnsi="Times New Roman"/>
          <w:sz w:val="28"/>
        </w:rPr>
      </w:pPr>
      <w:r>
        <w:rPr>
          <w:rFonts w:hint="eastAsia" w:ascii="Times New Roman" w:hAnsi="Times New Roman"/>
          <w:sz w:val="28"/>
        </w:rPr>
        <w:t>1、</w:t>
      </w:r>
      <w:r>
        <w:rPr>
          <w:rFonts w:ascii="Times New Roman" w:hAnsi="Times New Roman"/>
          <w:sz w:val="28"/>
        </w:rPr>
        <w:t>保险业务收入</w:t>
      </w:r>
    </w:p>
    <w:p>
      <w:pPr>
        <w:spacing w:line="360" w:lineRule="auto"/>
        <w:ind w:firstLine="584" w:firstLineChars="200"/>
        <w:rPr>
          <w:rFonts w:ascii="Times New Roman" w:hAnsi="Times New Roman"/>
          <w:sz w:val="28"/>
          <w:szCs w:val="28"/>
        </w:rPr>
      </w:pPr>
      <w:r>
        <w:rPr>
          <w:rFonts w:ascii="Times New Roman" w:hAnsi="Times New Roman"/>
          <w:sz w:val="28"/>
          <w:szCs w:val="28"/>
        </w:rPr>
        <w:t>xx保险公司的业务范围覆盖了人寿、养老、投资、教育、医疗等多个领域，为了实现可持续的、盈利性的增长，公司的产品经营策略主要集中于以销售期缴、保障型产品为主。20x1年至20x3期缴保费收入占比达到了90%，且期缴新业务保费收入月均增幅为68%。20x3年保费收入较20x2年增长了30.19%，其中续期的保费收入占比超过了60%，首年业务保费收入占到了约30%，与同规模公司相比处于较高水平。近三年xx保险公司各渠道保费收入情况如下表所示。</w:t>
      </w:r>
    </w:p>
    <w:p>
      <w:pPr>
        <w:spacing w:line="360" w:lineRule="auto"/>
        <w:jc w:val="center"/>
        <w:rPr>
          <w:rFonts w:ascii="Times New Roman" w:hAnsi="Times New Roman" w:eastAsia="黑体"/>
          <w:sz w:val="24"/>
        </w:rPr>
      </w:pPr>
      <w:r>
        <w:rPr>
          <w:rFonts w:ascii="Times New Roman" w:hAnsi="Times New Roman" w:eastAsia="黑体"/>
          <w:sz w:val="24"/>
        </w:rPr>
        <w:t>20x1-20x3年各渠道保费收入情况</w:t>
      </w:r>
    </w:p>
    <w:tbl>
      <w:tblPr>
        <w:tblStyle w:val="27"/>
        <w:tblW w:w="91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013"/>
        <w:gridCol w:w="2050"/>
        <w:gridCol w:w="2050"/>
        <w:gridCol w:w="2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301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Times New Roman" w:hAnsi="Times New Roman" w:eastAsia="宋体"/>
                <w:b/>
                <w:bCs/>
                <w:kern w:val="0"/>
                <w:sz w:val="18"/>
                <w:szCs w:val="18"/>
              </w:rPr>
            </w:pPr>
            <w:r>
              <w:rPr>
                <w:rFonts w:ascii="Times New Roman" w:hAnsi="宋体" w:eastAsia="宋体"/>
                <w:b/>
                <w:bCs/>
                <w:kern w:val="0"/>
                <w:sz w:val="18"/>
                <w:szCs w:val="18"/>
              </w:rPr>
              <w:t>按渠道划分</w:t>
            </w:r>
          </w:p>
        </w:tc>
        <w:tc>
          <w:tcPr>
            <w:tcW w:w="205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Times New Roman" w:hAnsi="Times New Roman" w:eastAsia="宋体"/>
                <w:b/>
                <w:bCs/>
                <w:kern w:val="0"/>
                <w:sz w:val="18"/>
                <w:szCs w:val="18"/>
              </w:rPr>
            </w:pPr>
            <w:r>
              <w:rPr>
                <w:rFonts w:ascii="Times New Roman" w:hAnsi="Times New Roman" w:eastAsia="宋体"/>
                <w:b/>
                <w:bCs/>
                <w:kern w:val="0"/>
                <w:sz w:val="18"/>
                <w:szCs w:val="18"/>
              </w:rPr>
              <w:t xml:space="preserve"> 20x1</w:t>
            </w:r>
            <w:r>
              <w:rPr>
                <w:rFonts w:ascii="Times New Roman" w:hAnsi="宋体" w:eastAsia="宋体"/>
                <w:b/>
                <w:bCs/>
                <w:kern w:val="0"/>
                <w:sz w:val="18"/>
                <w:szCs w:val="18"/>
              </w:rPr>
              <w:t>年</w:t>
            </w:r>
          </w:p>
        </w:tc>
        <w:tc>
          <w:tcPr>
            <w:tcW w:w="205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Times New Roman" w:hAnsi="Times New Roman" w:eastAsia="宋体"/>
                <w:b/>
                <w:bCs/>
                <w:kern w:val="0"/>
                <w:sz w:val="18"/>
                <w:szCs w:val="18"/>
              </w:rPr>
            </w:pPr>
            <w:r>
              <w:rPr>
                <w:rFonts w:ascii="Times New Roman" w:hAnsi="Times New Roman" w:eastAsia="宋体"/>
                <w:b/>
                <w:bCs/>
                <w:kern w:val="0"/>
                <w:sz w:val="18"/>
                <w:szCs w:val="18"/>
              </w:rPr>
              <w:t xml:space="preserve"> 20x2</w:t>
            </w:r>
            <w:r>
              <w:rPr>
                <w:rFonts w:ascii="Times New Roman" w:hAnsi="宋体" w:eastAsia="宋体"/>
                <w:b/>
                <w:bCs/>
                <w:kern w:val="0"/>
                <w:sz w:val="18"/>
                <w:szCs w:val="18"/>
              </w:rPr>
              <w:t>年</w:t>
            </w:r>
          </w:p>
        </w:tc>
        <w:tc>
          <w:tcPr>
            <w:tcW w:w="204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Times New Roman" w:hAnsi="Times New Roman" w:eastAsia="宋体"/>
                <w:b/>
                <w:bCs/>
                <w:kern w:val="0"/>
                <w:sz w:val="18"/>
                <w:szCs w:val="18"/>
              </w:rPr>
            </w:pPr>
            <w:r>
              <w:rPr>
                <w:rFonts w:ascii="Times New Roman" w:hAnsi="Times New Roman" w:eastAsia="宋体"/>
                <w:b/>
                <w:bCs/>
                <w:kern w:val="0"/>
                <w:sz w:val="18"/>
                <w:szCs w:val="18"/>
              </w:rPr>
              <w:t xml:space="preserve"> 20x3</w:t>
            </w:r>
            <w:r>
              <w:rPr>
                <w:rFonts w:ascii="Times New Roman" w:hAnsi="宋体" w:eastAsia="宋体"/>
                <w:b/>
                <w:bCs/>
                <w:kern w:val="0"/>
                <w:sz w:val="18"/>
                <w:szCs w:val="18"/>
              </w:rPr>
              <w:t>年</w:t>
            </w:r>
            <w:r>
              <w:rPr>
                <w:rFonts w:ascii="Times New Roman" w:hAnsi="Times New Roman" w:eastAsia="宋体"/>
                <w:b/>
                <w:bCs/>
                <w:kern w:val="0"/>
                <w:sz w:val="18"/>
                <w:szCs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3013" w:type="dxa"/>
            <w:tcBorders>
              <w:top w:val="single" w:color="auto" w:sz="4" w:space="0"/>
              <w:left w:val="single" w:color="auto" w:sz="4" w:space="0"/>
              <w:right w:val="single" w:color="auto" w:sz="4" w:space="0"/>
            </w:tcBorders>
            <w:vAlign w:val="center"/>
          </w:tcPr>
          <w:p>
            <w:pPr>
              <w:widowControl/>
              <w:spacing w:line="240" w:lineRule="auto"/>
              <w:jc w:val="left"/>
              <w:rPr>
                <w:rFonts w:ascii="Times New Roman" w:hAnsi="Times New Roman" w:eastAsia="宋体"/>
                <w:kern w:val="0"/>
                <w:sz w:val="18"/>
                <w:szCs w:val="18"/>
              </w:rPr>
            </w:pPr>
            <w:r>
              <w:rPr>
                <w:rFonts w:ascii="Times New Roman" w:hAnsi="宋体" w:eastAsia="宋体"/>
                <w:kern w:val="0"/>
                <w:sz w:val="18"/>
                <w:szCs w:val="18"/>
              </w:rPr>
              <w:t>银行及邮政兼业代理</w:t>
            </w:r>
          </w:p>
        </w:tc>
        <w:tc>
          <w:tcPr>
            <w:tcW w:w="2050" w:type="dxa"/>
            <w:tcBorders>
              <w:top w:val="single" w:color="auto" w:sz="4" w:space="0"/>
              <w:left w:val="single" w:color="auto" w:sz="4" w:space="0"/>
              <w:right w:val="single" w:color="auto" w:sz="4" w:space="0"/>
            </w:tcBorders>
            <w:vAlign w:val="center"/>
          </w:tcPr>
          <w:p>
            <w:pPr>
              <w:widowControl/>
              <w:spacing w:line="240" w:lineRule="auto"/>
              <w:jc w:val="right"/>
              <w:rPr>
                <w:rFonts w:ascii="Times New Roman" w:hAnsi="Times New Roman" w:eastAsia="宋体"/>
                <w:kern w:val="0"/>
                <w:sz w:val="18"/>
                <w:szCs w:val="18"/>
              </w:rPr>
            </w:pPr>
            <w:r>
              <w:rPr>
                <w:rFonts w:ascii="Times New Roman" w:hAnsi="Times New Roman" w:eastAsia="宋体"/>
                <w:kern w:val="0"/>
                <w:sz w:val="18"/>
                <w:szCs w:val="18"/>
              </w:rPr>
              <w:t xml:space="preserve">59,638.06 </w:t>
            </w:r>
          </w:p>
        </w:tc>
        <w:tc>
          <w:tcPr>
            <w:tcW w:w="2050" w:type="dxa"/>
            <w:tcBorders>
              <w:top w:val="single" w:color="auto" w:sz="4" w:space="0"/>
              <w:left w:val="single" w:color="auto" w:sz="4" w:space="0"/>
              <w:right w:val="single" w:color="auto" w:sz="4" w:space="0"/>
            </w:tcBorders>
            <w:vAlign w:val="center"/>
          </w:tcPr>
          <w:p>
            <w:pPr>
              <w:spacing w:line="240" w:lineRule="auto"/>
              <w:jc w:val="right"/>
              <w:rPr>
                <w:rFonts w:ascii="Times New Roman" w:hAnsi="Times New Roman" w:eastAsia="宋体"/>
                <w:kern w:val="0"/>
                <w:sz w:val="18"/>
                <w:szCs w:val="18"/>
              </w:rPr>
            </w:pPr>
            <w:r>
              <w:rPr>
                <w:rFonts w:ascii="Times New Roman" w:hAnsi="Times New Roman" w:eastAsia="宋体"/>
                <w:kern w:val="0"/>
                <w:sz w:val="18"/>
                <w:szCs w:val="18"/>
              </w:rPr>
              <w:t>88,923.84</w:t>
            </w:r>
          </w:p>
        </w:tc>
        <w:tc>
          <w:tcPr>
            <w:tcW w:w="2049" w:type="dxa"/>
            <w:tcBorders>
              <w:top w:val="single" w:color="auto" w:sz="4" w:space="0"/>
              <w:left w:val="single" w:color="auto" w:sz="4" w:space="0"/>
              <w:right w:val="single" w:color="auto" w:sz="4" w:space="0"/>
            </w:tcBorders>
            <w:vAlign w:val="center"/>
          </w:tcPr>
          <w:p>
            <w:pPr>
              <w:spacing w:line="240" w:lineRule="auto"/>
              <w:jc w:val="right"/>
              <w:rPr>
                <w:rFonts w:ascii="Times New Roman" w:hAnsi="Times New Roman" w:eastAsia="宋体"/>
                <w:kern w:val="0"/>
                <w:sz w:val="18"/>
                <w:szCs w:val="18"/>
              </w:rPr>
            </w:pPr>
            <w:r>
              <w:rPr>
                <w:rFonts w:ascii="Times New Roman" w:hAnsi="Times New Roman" w:eastAsia="宋体"/>
                <w:kern w:val="0"/>
                <w:sz w:val="18"/>
                <w:szCs w:val="18"/>
              </w:rPr>
              <w:t>115,735.16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3013" w:type="dxa"/>
            <w:tcBorders>
              <w:left w:val="single" w:color="auto" w:sz="4" w:space="0"/>
              <w:right w:val="single" w:color="auto" w:sz="4" w:space="0"/>
            </w:tcBorders>
            <w:vAlign w:val="center"/>
          </w:tcPr>
          <w:p>
            <w:pPr>
              <w:widowControl/>
              <w:spacing w:line="240" w:lineRule="auto"/>
              <w:jc w:val="left"/>
              <w:rPr>
                <w:rFonts w:ascii="Times New Roman" w:hAnsi="Times New Roman" w:eastAsia="宋体"/>
                <w:kern w:val="0"/>
                <w:sz w:val="18"/>
                <w:szCs w:val="18"/>
              </w:rPr>
            </w:pPr>
            <w:r>
              <w:rPr>
                <w:rFonts w:ascii="Times New Roman" w:hAnsi="宋体" w:eastAsia="宋体"/>
                <w:kern w:val="0"/>
                <w:sz w:val="18"/>
                <w:szCs w:val="18"/>
              </w:rPr>
              <w:t>个人代理</w:t>
            </w:r>
          </w:p>
        </w:tc>
        <w:tc>
          <w:tcPr>
            <w:tcW w:w="2050" w:type="dxa"/>
            <w:tcBorders>
              <w:left w:val="single" w:color="auto" w:sz="4" w:space="0"/>
              <w:right w:val="single" w:color="auto" w:sz="4" w:space="0"/>
            </w:tcBorders>
            <w:vAlign w:val="center"/>
          </w:tcPr>
          <w:p>
            <w:pPr>
              <w:widowControl/>
              <w:spacing w:line="240" w:lineRule="auto"/>
              <w:jc w:val="right"/>
              <w:rPr>
                <w:rFonts w:ascii="Times New Roman" w:hAnsi="Times New Roman" w:eastAsia="宋体"/>
                <w:kern w:val="0"/>
                <w:sz w:val="18"/>
                <w:szCs w:val="18"/>
              </w:rPr>
            </w:pPr>
            <w:r>
              <w:rPr>
                <w:rFonts w:ascii="Times New Roman" w:hAnsi="Times New Roman" w:eastAsia="宋体"/>
                <w:kern w:val="0"/>
                <w:sz w:val="18"/>
                <w:szCs w:val="18"/>
              </w:rPr>
              <w:t xml:space="preserve">32,144.45 </w:t>
            </w:r>
          </w:p>
        </w:tc>
        <w:tc>
          <w:tcPr>
            <w:tcW w:w="2050" w:type="dxa"/>
            <w:tcBorders>
              <w:left w:val="single" w:color="auto" w:sz="4" w:space="0"/>
              <w:right w:val="single" w:color="auto" w:sz="4" w:space="0"/>
            </w:tcBorders>
            <w:vAlign w:val="center"/>
          </w:tcPr>
          <w:p>
            <w:pPr>
              <w:spacing w:line="240" w:lineRule="auto"/>
              <w:jc w:val="right"/>
              <w:rPr>
                <w:rFonts w:ascii="Times New Roman" w:hAnsi="Times New Roman" w:eastAsia="宋体"/>
                <w:kern w:val="0"/>
                <w:sz w:val="18"/>
                <w:szCs w:val="18"/>
              </w:rPr>
            </w:pPr>
            <w:r>
              <w:rPr>
                <w:rFonts w:ascii="Times New Roman" w:hAnsi="Times New Roman" w:eastAsia="宋体"/>
                <w:kern w:val="0"/>
                <w:sz w:val="18"/>
                <w:szCs w:val="18"/>
              </w:rPr>
              <w:t>39,265.57</w:t>
            </w:r>
          </w:p>
        </w:tc>
        <w:tc>
          <w:tcPr>
            <w:tcW w:w="2049" w:type="dxa"/>
            <w:tcBorders>
              <w:left w:val="single" w:color="auto" w:sz="4" w:space="0"/>
              <w:right w:val="single" w:color="auto" w:sz="4" w:space="0"/>
            </w:tcBorders>
            <w:vAlign w:val="center"/>
          </w:tcPr>
          <w:p>
            <w:pPr>
              <w:spacing w:line="240" w:lineRule="auto"/>
              <w:jc w:val="right"/>
              <w:rPr>
                <w:rFonts w:ascii="Times New Roman" w:hAnsi="Times New Roman" w:eastAsia="宋体"/>
                <w:kern w:val="0"/>
                <w:sz w:val="18"/>
                <w:szCs w:val="18"/>
              </w:rPr>
            </w:pPr>
            <w:r>
              <w:rPr>
                <w:rFonts w:ascii="Times New Roman" w:hAnsi="Times New Roman" w:eastAsia="宋体"/>
                <w:kern w:val="0"/>
                <w:sz w:val="18"/>
                <w:szCs w:val="18"/>
              </w:rPr>
              <w:t>47,972.09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3013" w:type="dxa"/>
            <w:tcBorders>
              <w:left w:val="single" w:color="auto" w:sz="4" w:space="0"/>
              <w:right w:val="single" w:color="auto" w:sz="4" w:space="0"/>
            </w:tcBorders>
            <w:vAlign w:val="center"/>
          </w:tcPr>
          <w:p>
            <w:pPr>
              <w:widowControl/>
              <w:spacing w:line="240" w:lineRule="auto"/>
              <w:jc w:val="left"/>
              <w:rPr>
                <w:rFonts w:ascii="Times New Roman" w:hAnsi="Times New Roman" w:eastAsia="宋体"/>
                <w:kern w:val="0"/>
                <w:sz w:val="18"/>
                <w:szCs w:val="18"/>
              </w:rPr>
            </w:pPr>
            <w:r>
              <w:rPr>
                <w:rFonts w:ascii="Times New Roman" w:hAnsi="宋体" w:eastAsia="宋体"/>
                <w:kern w:val="0"/>
                <w:sz w:val="18"/>
                <w:szCs w:val="18"/>
              </w:rPr>
              <w:t>保险中介代理</w:t>
            </w:r>
          </w:p>
        </w:tc>
        <w:tc>
          <w:tcPr>
            <w:tcW w:w="2050" w:type="dxa"/>
            <w:tcBorders>
              <w:left w:val="single" w:color="auto" w:sz="4" w:space="0"/>
              <w:right w:val="single" w:color="auto" w:sz="4" w:space="0"/>
            </w:tcBorders>
            <w:vAlign w:val="center"/>
          </w:tcPr>
          <w:p>
            <w:pPr>
              <w:widowControl/>
              <w:spacing w:line="240" w:lineRule="auto"/>
              <w:jc w:val="right"/>
              <w:rPr>
                <w:rFonts w:ascii="Times New Roman" w:hAnsi="Times New Roman" w:eastAsia="宋体"/>
                <w:kern w:val="0"/>
                <w:sz w:val="18"/>
                <w:szCs w:val="18"/>
              </w:rPr>
            </w:pPr>
            <w:r>
              <w:rPr>
                <w:rFonts w:ascii="Times New Roman" w:hAnsi="Times New Roman" w:eastAsia="宋体"/>
                <w:kern w:val="0"/>
                <w:sz w:val="18"/>
                <w:szCs w:val="18"/>
              </w:rPr>
              <w:t xml:space="preserve">5,791.57 </w:t>
            </w:r>
          </w:p>
        </w:tc>
        <w:tc>
          <w:tcPr>
            <w:tcW w:w="2050" w:type="dxa"/>
            <w:tcBorders>
              <w:left w:val="single" w:color="auto" w:sz="4" w:space="0"/>
              <w:right w:val="single" w:color="auto" w:sz="4" w:space="0"/>
            </w:tcBorders>
            <w:vAlign w:val="center"/>
          </w:tcPr>
          <w:p>
            <w:pPr>
              <w:spacing w:line="240" w:lineRule="auto"/>
              <w:jc w:val="right"/>
              <w:rPr>
                <w:rFonts w:ascii="Times New Roman" w:hAnsi="Times New Roman" w:eastAsia="宋体"/>
                <w:kern w:val="0"/>
                <w:sz w:val="18"/>
                <w:szCs w:val="18"/>
              </w:rPr>
            </w:pPr>
            <w:r>
              <w:rPr>
                <w:rFonts w:ascii="Times New Roman" w:hAnsi="Times New Roman" w:eastAsia="宋体"/>
                <w:kern w:val="0"/>
                <w:sz w:val="18"/>
                <w:szCs w:val="18"/>
              </w:rPr>
              <w:t>5,211.03</w:t>
            </w:r>
          </w:p>
        </w:tc>
        <w:tc>
          <w:tcPr>
            <w:tcW w:w="2049" w:type="dxa"/>
            <w:tcBorders>
              <w:left w:val="single" w:color="auto" w:sz="4" w:space="0"/>
              <w:right w:val="single" w:color="auto" w:sz="4" w:space="0"/>
            </w:tcBorders>
            <w:vAlign w:val="center"/>
          </w:tcPr>
          <w:p>
            <w:pPr>
              <w:spacing w:line="240" w:lineRule="auto"/>
              <w:jc w:val="right"/>
              <w:rPr>
                <w:rFonts w:ascii="Times New Roman" w:hAnsi="Times New Roman" w:eastAsia="宋体"/>
                <w:kern w:val="0"/>
                <w:sz w:val="18"/>
                <w:szCs w:val="18"/>
              </w:rPr>
            </w:pPr>
            <w:r>
              <w:rPr>
                <w:rFonts w:ascii="Times New Roman" w:hAnsi="Times New Roman" w:eastAsia="宋体"/>
                <w:kern w:val="0"/>
                <w:sz w:val="18"/>
                <w:szCs w:val="18"/>
              </w:rPr>
              <w:t>9,606.64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3013" w:type="dxa"/>
            <w:tcBorders>
              <w:left w:val="single" w:color="auto" w:sz="4" w:space="0"/>
              <w:bottom w:val="single" w:color="auto" w:sz="4" w:space="0"/>
              <w:right w:val="single" w:color="auto" w:sz="4" w:space="0"/>
            </w:tcBorders>
            <w:vAlign w:val="center"/>
          </w:tcPr>
          <w:p>
            <w:pPr>
              <w:widowControl/>
              <w:spacing w:line="240" w:lineRule="auto"/>
              <w:jc w:val="left"/>
              <w:rPr>
                <w:rFonts w:ascii="Times New Roman" w:hAnsi="Times New Roman" w:eastAsia="宋体"/>
                <w:kern w:val="0"/>
                <w:sz w:val="18"/>
                <w:szCs w:val="18"/>
              </w:rPr>
            </w:pPr>
            <w:r>
              <w:rPr>
                <w:rFonts w:ascii="Times New Roman" w:hAnsi="宋体" w:eastAsia="宋体"/>
                <w:kern w:val="0"/>
                <w:sz w:val="18"/>
                <w:szCs w:val="18"/>
              </w:rPr>
              <w:t>公司直销</w:t>
            </w:r>
          </w:p>
        </w:tc>
        <w:tc>
          <w:tcPr>
            <w:tcW w:w="2050" w:type="dxa"/>
            <w:tcBorders>
              <w:left w:val="single" w:color="auto" w:sz="4" w:space="0"/>
              <w:bottom w:val="single" w:color="auto" w:sz="4" w:space="0"/>
              <w:right w:val="single" w:color="auto" w:sz="4" w:space="0"/>
            </w:tcBorders>
            <w:vAlign w:val="center"/>
          </w:tcPr>
          <w:p>
            <w:pPr>
              <w:widowControl/>
              <w:spacing w:line="240" w:lineRule="auto"/>
              <w:jc w:val="right"/>
              <w:rPr>
                <w:rFonts w:ascii="Times New Roman" w:hAnsi="Times New Roman" w:eastAsia="宋体"/>
                <w:kern w:val="0"/>
                <w:sz w:val="18"/>
                <w:szCs w:val="18"/>
              </w:rPr>
            </w:pPr>
            <w:r>
              <w:rPr>
                <w:rFonts w:ascii="Times New Roman" w:hAnsi="Times New Roman" w:eastAsia="宋体"/>
                <w:kern w:val="0"/>
                <w:sz w:val="18"/>
                <w:szCs w:val="18"/>
              </w:rPr>
              <w:t xml:space="preserve">2,915.46 </w:t>
            </w:r>
          </w:p>
        </w:tc>
        <w:tc>
          <w:tcPr>
            <w:tcW w:w="2050" w:type="dxa"/>
            <w:tcBorders>
              <w:left w:val="single" w:color="auto" w:sz="4" w:space="0"/>
              <w:bottom w:val="single" w:color="auto" w:sz="4" w:space="0"/>
              <w:right w:val="single" w:color="auto" w:sz="4" w:space="0"/>
            </w:tcBorders>
            <w:vAlign w:val="center"/>
          </w:tcPr>
          <w:p>
            <w:pPr>
              <w:spacing w:line="240" w:lineRule="auto"/>
              <w:jc w:val="right"/>
              <w:rPr>
                <w:rFonts w:ascii="Times New Roman" w:hAnsi="Times New Roman" w:eastAsia="宋体"/>
                <w:kern w:val="0"/>
                <w:sz w:val="18"/>
                <w:szCs w:val="18"/>
              </w:rPr>
            </w:pPr>
            <w:r>
              <w:rPr>
                <w:rFonts w:ascii="Times New Roman" w:hAnsi="Times New Roman" w:eastAsia="宋体"/>
                <w:kern w:val="0"/>
                <w:sz w:val="18"/>
                <w:szCs w:val="18"/>
              </w:rPr>
              <w:t>4,384.32</w:t>
            </w:r>
          </w:p>
        </w:tc>
        <w:tc>
          <w:tcPr>
            <w:tcW w:w="2049" w:type="dxa"/>
            <w:tcBorders>
              <w:left w:val="single" w:color="auto" w:sz="4" w:space="0"/>
              <w:bottom w:val="single" w:color="auto" w:sz="4" w:space="0"/>
              <w:right w:val="single" w:color="auto" w:sz="4" w:space="0"/>
            </w:tcBorders>
            <w:vAlign w:val="center"/>
          </w:tcPr>
          <w:p>
            <w:pPr>
              <w:spacing w:line="240" w:lineRule="auto"/>
              <w:jc w:val="right"/>
              <w:rPr>
                <w:rFonts w:ascii="Times New Roman" w:hAnsi="Times New Roman" w:eastAsia="宋体"/>
                <w:kern w:val="0"/>
                <w:sz w:val="18"/>
                <w:szCs w:val="18"/>
              </w:rPr>
            </w:pPr>
            <w:r>
              <w:rPr>
                <w:rFonts w:ascii="Times New Roman" w:hAnsi="Times New Roman" w:eastAsia="宋体"/>
                <w:kern w:val="0"/>
                <w:sz w:val="18"/>
                <w:szCs w:val="18"/>
              </w:rPr>
              <w:t>6,072.93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301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Times New Roman" w:hAnsi="Times New Roman" w:eastAsia="宋体"/>
                <w:b/>
                <w:kern w:val="0"/>
                <w:sz w:val="18"/>
                <w:szCs w:val="18"/>
              </w:rPr>
            </w:pPr>
            <w:r>
              <w:rPr>
                <w:rFonts w:ascii="Times New Roman" w:hAnsi="宋体" w:eastAsia="宋体"/>
                <w:b/>
                <w:kern w:val="0"/>
                <w:sz w:val="18"/>
                <w:szCs w:val="18"/>
              </w:rPr>
              <w:t>总计</w:t>
            </w:r>
          </w:p>
        </w:tc>
        <w:tc>
          <w:tcPr>
            <w:tcW w:w="205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Times New Roman" w:hAnsi="Times New Roman" w:eastAsia="宋体"/>
                <w:b/>
                <w:kern w:val="0"/>
                <w:sz w:val="18"/>
                <w:szCs w:val="18"/>
              </w:rPr>
            </w:pPr>
            <w:r>
              <w:rPr>
                <w:rFonts w:ascii="Times New Roman" w:hAnsi="Times New Roman" w:eastAsia="宋体"/>
                <w:b/>
                <w:kern w:val="0"/>
                <w:sz w:val="18"/>
                <w:szCs w:val="18"/>
              </w:rPr>
              <w:t xml:space="preserve"> 100,489.54 </w:t>
            </w:r>
          </w:p>
        </w:tc>
        <w:tc>
          <w:tcPr>
            <w:tcW w:w="2050" w:type="dxa"/>
            <w:tcBorders>
              <w:top w:val="single" w:color="auto" w:sz="4" w:space="0"/>
              <w:left w:val="single" w:color="auto" w:sz="4" w:space="0"/>
              <w:bottom w:val="single" w:color="auto" w:sz="4" w:space="0"/>
              <w:right w:val="single" w:color="auto" w:sz="4" w:space="0"/>
            </w:tcBorders>
            <w:vAlign w:val="center"/>
          </w:tcPr>
          <w:p>
            <w:pPr>
              <w:spacing w:line="240" w:lineRule="auto"/>
              <w:jc w:val="right"/>
              <w:rPr>
                <w:rFonts w:ascii="Times New Roman" w:hAnsi="Times New Roman" w:eastAsia="宋体"/>
                <w:b/>
                <w:kern w:val="0"/>
                <w:sz w:val="18"/>
                <w:szCs w:val="18"/>
              </w:rPr>
            </w:pPr>
            <w:r>
              <w:rPr>
                <w:rFonts w:ascii="Times New Roman" w:hAnsi="Times New Roman" w:eastAsia="宋体"/>
                <w:b/>
                <w:kern w:val="0"/>
                <w:sz w:val="18"/>
                <w:szCs w:val="18"/>
              </w:rPr>
              <w:t>137,784.76</w:t>
            </w:r>
          </w:p>
        </w:tc>
        <w:tc>
          <w:tcPr>
            <w:tcW w:w="2049" w:type="dxa"/>
            <w:tcBorders>
              <w:top w:val="single" w:color="auto" w:sz="4" w:space="0"/>
              <w:left w:val="single" w:color="auto" w:sz="4" w:space="0"/>
              <w:bottom w:val="single" w:color="auto" w:sz="4" w:space="0"/>
              <w:right w:val="single" w:color="auto" w:sz="4" w:space="0"/>
            </w:tcBorders>
            <w:vAlign w:val="center"/>
          </w:tcPr>
          <w:p>
            <w:pPr>
              <w:spacing w:line="240" w:lineRule="auto"/>
              <w:jc w:val="right"/>
              <w:rPr>
                <w:rFonts w:ascii="Times New Roman" w:hAnsi="Times New Roman" w:eastAsia="宋体"/>
                <w:b/>
                <w:kern w:val="0"/>
                <w:sz w:val="18"/>
                <w:szCs w:val="18"/>
              </w:rPr>
            </w:pPr>
            <w:r>
              <w:rPr>
                <w:rFonts w:ascii="Times New Roman" w:hAnsi="Times New Roman" w:eastAsia="宋体"/>
                <w:b/>
                <w:kern w:val="0"/>
                <w:sz w:val="18"/>
                <w:szCs w:val="18"/>
              </w:rPr>
              <w:t>179,386.81</w:t>
            </w:r>
          </w:p>
        </w:tc>
      </w:tr>
    </w:tbl>
    <w:p>
      <w:pPr>
        <w:spacing w:line="360" w:lineRule="auto"/>
        <w:ind w:firstLine="584" w:firstLineChars="200"/>
        <w:rPr>
          <w:rFonts w:ascii="Times New Roman" w:hAnsi="Times New Roman"/>
          <w:sz w:val="28"/>
        </w:rPr>
      </w:pPr>
    </w:p>
    <w:p>
      <w:pPr>
        <w:spacing w:line="360" w:lineRule="auto"/>
        <w:ind w:firstLine="584" w:firstLineChars="200"/>
        <w:rPr>
          <w:rFonts w:ascii="Times New Roman" w:hAnsi="Times New Roman"/>
          <w:sz w:val="28"/>
          <w:szCs w:val="28"/>
        </w:rPr>
      </w:pPr>
      <w:r>
        <w:rPr>
          <w:rFonts w:ascii="Times New Roman" w:hAnsi="Times New Roman"/>
          <w:sz w:val="28"/>
          <w:szCs w:val="28"/>
        </w:rPr>
        <w:t>保险公司未来年度的毛保费收入来源于新业务期缴保费收入、新业务趸缴保费收入、续年期缴保费收入。续年期缴的保费收入根据基准日有效保单在未来产生的保费收入进行预测，新业务期缴/趸缴保费收入的预测则是通过对年化新业务保费（ANP）增长率的预测进行。年化新业务保费（ANP）是指首年期缴保费收入加上10%的趸缴保费收入。</w:t>
      </w:r>
    </w:p>
    <w:p>
      <w:pPr>
        <w:spacing w:line="360" w:lineRule="auto"/>
        <w:ind w:firstLine="584" w:firstLineChars="200"/>
        <w:rPr>
          <w:rFonts w:ascii="Times New Roman" w:hAnsi="Times New Roman"/>
          <w:sz w:val="28"/>
          <w:szCs w:val="28"/>
        </w:rPr>
      </w:pPr>
      <w:r>
        <w:rPr>
          <w:rFonts w:ascii="Times New Roman" w:hAnsi="Times New Roman"/>
          <w:sz w:val="28"/>
          <w:szCs w:val="28"/>
        </w:rPr>
        <w:t>中国人身保险业在20x0-20x3年保费收入年均增长率为20%，20x3年保险深度为1.9%。20x0-20x3年，xx保险公司实现毛保费收入年均增长率42%，年化新业务保费（ANP）年均增长率为26%。据此，xx保险公司结合各渠道销售能力制定未来年度商业计划，预测了20x4-20</w:t>
      </w:r>
      <w:r>
        <w:rPr>
          <w:rFonts w:hint="eastAsia" w:ascii="Times New Roman" w:hAnsi="Times New Roman"/>
          <w:sz w:val="28"/>
          <w:szCs w:val="28"/>
        </w:rPr>
        <w:t>y</w:t>
      </w:r>
      <w:r>
        <w:rPr>
          <w:rFonts w:ascii="Times New Roman" w:hAnsi="Times New Roman"/>
          <w:sz w:val="28"/>
          <w:szCs w:val="28"/>
        </w:rPr>
        <w:t>4年年化新业务保费。其中，20x4年的预测包含了到了20x4年1-3月份的实际经营状况。</w:t>
      </w:r>
    </w:p>
    <w:p>
      <w:pPr>
        <w:spacing w:line="360" w:lineRule="auto"/>
        <w:jc w:val="center"/>
        <w:rPr>
          <w:rFonts w:ascii="Times New Roman" w:hAnsi="Times New Roman" w:eastAsia="黑体"/>
          <w:sz w:val="24"/>
        </w:rPr>
      </w:pPr>
      <w:r>
        <w:rPr>
          <w:rFonts w:ascii="Times New Roman" w:hAnsi="Times New Roman" w:eastAsia="黑体"/>
          <w:sz w:val="24"/>
        </w:rPr>
        <w:t>未来年度ANP分渠道预测表</w:t>
      </w:r>
    </w:p>
    <w:tbl>
      <w:tblPr>
        <w:tblStyle w:val="27"/>
        <w:tblW w:w="897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2232"/>
        <w:gridCol w:w="562"/>
        <w:gridCol w:w="562"/>
        <w:gridCol w:w="562"/>
        <w:gridCol w:w="562"/>
        <w:gridCol w:w="562"/>
        <w:gridCol w:w="562"/>
        <w:gridCol w:w="562"/>
        <w:gridCol w:w="562"/>
        <w:gridCol w:w="562"/>
        <w:gridCol w:w="562"/>
        <w:gridCol w:w="562"/>
        <w:gridCol w:w="56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186" w:hRule="atLeast"/>
        </w:trPr>
        <w:tc>
          <w:tcPr>
            <w:tcW w:w="2232" w:type="dxa"/>
            <w:tcMar>
              <w:top w:w="15" w:type="dxa"/>
              <w:left w:w="15" w:type="dxa"/>
              <w:bottom w:w="0" w:type="dxa"/>
              <w:right w:w="15" w:type="dxa"/>
            </w:tcMar>
            <w:vAlign w:val="center"/>
          </w:tcPr>
          <w:p>
            <w:pPr>
              <w:widowControl/>
              <w:spacing w:line="240" w:lineRule="auto"/>
              <w:jc w:val="center"/>
              <w:textAlignment w:val="bottom"/>
              <w:rPr>
                <w:rFonts w:ascii="Times New Roman" w:hAnsi="Times New Roman" w:eastAsia="宋体"/>
                <w:kern w:val="0"/>
                <w:sz w:val="18"/>
                <w:szCs w:val="18"/>
              </w:rPr>
            </w:pPr>
            <w:r>
              <w:rPr>
                <w:rFonts w:ascii="Times New Roman" w:hAnsi="宋体" w:eastAsia="宋体"/>
                <w:b/>
                <w:bCs/>
                <w:kern w:val="24"/>
                <w:sz w:val="18"/>
                <w:szCs w:val="18"/>
              </w:rPr>
              <w:t>营销员渠道</w:t>
            </w:r>
          </w:p>
        </w:tc>
        <w:tc>
          <w:tcPr>
            <w:tcW w:w="562" w:type="dxa"/>
            <w:tcMar>
              <w:top w:w="15" w:type="dxa"/>
              <w:left w:w="15" w:type="dxa"/>
              <w:bottom w:w="0" w:type="dxa"/>
              <w:right w:w="15" w:type="dxa"/>
            </w:tcMar>
            <w:vAlign w:val="center"/>
          </w:tcPr>
          <w:p>
            <w:pPr>
              <w:widowControl/>
              <w:spacing w:line="240" w:lineRule="auto"/>
              <w:jc w:val="center"/>
              <w:textAlignment w:val="center"/>
              <w:rPr>
                <w:rFonts w:ascii="Times New Roman" w:hAnsi="Times New Roman" w:eastAsia="宋体"/>
                <w:kern w:val="0"/>
                <w:sz w:val="18"/>
                <w:szCs w:val="18"/>
              </w:rPr>
            </w:pPr>
            <w:r>
              <w:rPr>
                <w:rFonts w:ascii="Times New Roman" w:hAnsi="Times New Roman" w:eastAsia="宋体"/>
                <w:b/>
                <w:bCs/>
                <w:kern w:val="24"/>
                <w:sz w:val="18"/>
                <w:szCs w:val="18"/>
              </w:rPr>
              <w:t>20x3</w:t>
            </w:r>
          </w:p>
        </w:tc>
        <w:tc>
          <w:tcPr>
            <w:tcW w:w="562" w:type="dxa"/>
            <w:tcMar>
              <w:top w:w="15" w:type="dxa"/>
              <w:left w:w="15" w:type="dxa"/>
              <w:bottom w:w="0" w:type="dxa"/>
              <w:right w:w="15" w:type="dxa"/>
            </w:tcMar>
            <w:vAlign w:val="center"/>
          </w:tcPr>
          <w:p>
            <w:pPr>
              <w:widowControl/>
              <w:spacing w:line="240" w:lineRule="auto"/>
              <w:jc w:val="center"/>
              <w:textAlignment w:val="center"/>
              <w:rPr>
                <w:rFonts w:ascii="Times New Roman" w:hAnsi="Times New Roman" w:eastAsia="宋体"/>
                <w:kern w:val="0"/>
                <w:sz w:val="18"/>
                <w:szCs w:val="18"/>
              </w:rPr>
            </w:pPr>
            <w:r>
              <w:rPr>
                <w:rFonts w:ascii="Times New Roman" w:hAnsi="Times New Roman" w:eastAsia="宋体"/>
                <w:b/>
                <w:bCs/>
                <w:kern w:val="24"/>
                <w:sz w:val="18"/>
                <w:szCs w:val="18"/>
              </w:rPr>
              <w:t>20x4</w:t>
            </w:r>
          </w:p>
        </w:tc>
        <w:tc>
          <w:tcPr>
            <w:tcW w:w="562" w:type="dxa"/>
            <w:tcMar>
              <w:top w:w="15" w:type="dxa"/>
              <w:left w:w="15" w:type="dxa"/>
              <w:bottom w:w="0" w:type="dxa"/>
              <w:right w:w="15" w:type="dxa"/>
            </w:tcMar>
            <w:vAlign w:val="center"/>
          </w:tcPr>
          <w:p>
            <w:pPr>
              <w:widowControl/>
              <w:spacing w:line="240" w:lineRule="auto"/>
              <w:jc w:val="center"/>
              <w:textAlignment w:val="center"/>
              <w:rPr>
                <w:rFonts w:ascii="Times New Roman" w:hAnsi="Times New Roman" w:eastAsia="宋体"/>
                <w:kern w:val="0"/>
                <w:sz w:val="18"/>
                <w:szCs w:val="18"/>
              </w:rPr>
            </w:pPr>
            <w:r>
              <w:rPr>
                <w:rFonts w:ascii="Times New Roman" w:hAnsi="Times New Roman" w:eastAsia="宋体"/>
                <w:b/>
                <w:bCs/>
                <w:kern w:val="24"/>
                <w:sz w:val="18"/>
                <w:szCs w:val="18"/>
              </w:rPr>
              <w:t>20x5</w:t>
            </w:r>
          </w:p>
        </w:tc>
        <w:tc>
          <w:tcPr>
            <w:tcW w:w="562" w:type="dxa"/>
            <w:tcMar>
              <w:top w:w="15" w:type="dxa"/>
              <w:left w:w="15" w:type="dxa"/>
              <w:bottom w:w="0" w:type="dxa"/>
              <w:right w:w="15" w:type="dxa"/>
            </w:tcMar>
            <w:vAlign w:val="center"/>
          </w:tcPr>
          <w:p>
            <w:pPr>
              <w:widowControl/>
              <w:spacing w:line="240" w:lineRule="auto"/>
              <w:jc w:val="center"/>
              <w:textAlignment w:val="center"/>
              <w:rPr>
                <w:rFonts w:ascii="Times New Roman" w:hAnsi="Times New Roman" w:eastAsia="宋体"/>
                <w:kern w:val="0"/>
                <w:sz w:val="18"/>
                <w:szCs w:val="18"/>
              </w:rPr>
            </w:pPr>
            <w:r>
              <w:rPr>
                <w:rFonts w:ascii="Times New Roman" w:hAnsi="Times New Roman" w:eastAsia="宋体"/>
                <w:b/>
                <w:bCs/>
                <w:kern w:val="24"/>
                <w:sz w:val="18"/>
                <w:szCs w:val="18"/>
              </w:rPr>
              <w:t>20x6</w:t>
            </w:r>
          </w:p>
        </w:tc>
        <w:tc>
          <w:tcPr>
            <w:tcW w:w="562" w:type="dxa"/>
            <w:tcMar>
              <w:top w:w="15" w:type="dxa"/>
              <w:left w:w="15" w:type="dxa"/>
              <w:bottom w:w="0" w:type="dxa"/>
              <w:right w:w="15" w:type="dxa"/>
            </w:tcMar>
            <w:vAlign w:val="center"/>
          </w:tcPr>
          <w:p>
            <w:pPr>
              <w:widowControl/>
              <w:spacing w:line="240" w:lineRule="auto"/>
              <w:jc w:val="center"/>
              <w:textAlignment w:val="center"/>
              <w:rPr>
                <w:rFonts w:ascii="Times New Roman" w:hAnsi="Times New Roman" w:eastAsia="宋体"/>
                <w:kern w:val="0"/>
                <w:sz w:val="18"/>
                <w:szCs w:val="18"/>
              </w:rPr>
            </w:pPr>
            <w:r>
              <w:rPr>
                <w:rFonts w:ascii="Times New Roman" w:hAnsi="Times New Roman" w:eastAsia="宋体"/>
                <w:b/>
                <w:bCs/>
                <w:kern w:val="24"/>
                <w:sz w:val="18"/>
                <w:szCs w:val="18"/>
              </w:rPr>
              <w:t>20x7</w:t>
            </w:r>
          </w:p>
        </w:tc>
        <w:tc>
          <w:tcPr>
            <w:tcW w:w="562" w:type="dxa"/>
            <w:tcMar>
              <w:top w:w="15" w:type="dxa"/>
              <w:left w:w="15" w:type="dxa"/>
              <w:bottom w:w="0" w:type="dxa"/>
              <w:right w:w="15" w:type="dxa"/>
            </w:tcMar>
            <w:vAlign w:val="center"/>
          </w:tcPr>
          <w:p>
            <w:pPr>
              <w:widowControl/>
              <w:spacing w:line="240" w:lineRule="auto"/>
              <w:jc w:val="center"/>
              <w:textAlignment w:val="center"/>
              <w:rPr>
                <w:rFonts w:ascii="Times New Roman" w:hAnsi="Times New Roman" w:eastAsia="宋体"/>
                <w:kern w:val="0"/>
                <w:sz w:val="18"/>
                <w:szCs w:val="18"/>
              </w:rPr>
            </w:pPr>
            <w:r>
              <w:rPr>
                <w:rFonts w:ascii="Times New Roman" w:hAnsi="Times New Roman" w:eastAsia="宋体"/>
                <w:b/>
                <w:bCs/>
                <w:kern w:val="24"/>
                <w:sz w:val="18"/>
                <w:szCs w:val="18"/>
              </w:rPr>
              <w:t>20x8</w:t>
            </w:r>
          </w:p>
        </w:tc>
        <w:tc>
          <w:tcPr>
            <w:tcW w:w="562" w:type="dxa"/>
            <w:tcMar>
              <w:top w:w="15" w:type="dxa"/>
              <w:left w:w="15" w:type="dxa"/>
              <w:bottom w:w="0" w:type="dxa"/>
              <w:right w:w="15" w:type="dxa"/>
            </w:tcMar>
            <w:vAlign w:val="center"/>
          </w:tcPr>
          <w:p>
            <w:pPr>
              <w:widowControl/>
              <w:spacing w:line="240" w:lineRule="auto"/>
              <w:jc w:val="center"/>
              <w:textAlignment w:val="center"/>
              <w:rPr>
                <w:rFonts w:ascii="Times New Roman" w:hAnsi="Times New Roman" w:eastAsia="宋体"/>
                <w:kern w:val="0"/>
                <w:sz w:val="18"/>
                <w:szCs w:val="18"/>
              </w:rPr>
            </w:pPr>
            <w:r>
              <w:rPr>
                <w:rFonts w:ascii="Times New Roman" w:hAnsi="Times New Roman" w:eastAsia="宋体"/>
                <w:b/>
                <w:bCs/>
                <w:kern w:val="24"/>
                <w:sz w:val="18"/>
                <w:szCs w:val="18"/>
              </w:rPr>
              <w:t>20x9</w:t>
            </w:r>
          </w:p>
        </w:tc>
        <w:tc>
          <w:tcPr>
            <w:tcW w:w="562" w:type="dxa"/>
            <w:tcMar>
              <w:top w:w="15" w:type="dxa"/>
              <w:left w:w="15" w:type="dxa"/>
              <w:bottom w:w="0" w:type="dxa"/>
              <w:right w:w="15" w:type="dxa"/>
            </w:tcMar>
            <w:vAlign w:val="center"/>
          </w:tcPr>
          <w:p>
            <w:pPr>
              <w:widowControl/>
              <w:spacing w:line="240" w:lineRule="auto"/>
              <w:jc w:val="center"/>
              <w:textAlignment w:val="center"/>
              <w:rPr>
                <w:rFonts w:ascii="Times New Roman" w:hAnsi="Times New Roman" w:eastAsia="宋体"/>
                <w:kern w:val="0"/>
                <w:sz w:val="18"/>
                <w:szCs w:val="18"/>
              </w:rPr>
            </w:pPr>
            <w:r>
              <w:rPr>
                <w:rFonts w:ascii="Times New Roman" w:hAnsi="Times New Roman" w:eastAsia="宋体"/>
                <w:b/>
                <w:bCs/>
                <w:kern w:val="24"/>
                <w:sz w:val="18"/>
                <w:szCs w:val="18"/>
              </w:rPr>
              <w:t>20</w:t>
            </w:r>
            <w:r>
              <w:rPr>
                <w:rFonts w:hint="eastAsia" w:ascii="Times New Roman" w:hAnsi="Times New Roman" w:eastAsia="宋体"/>
                <w:b/>
                <w:bCs/>
                <w:kern w:val="24"/>
                <w:sz w:val="18"/>
                <w:szCs w:val="18"/>
              </w:rPr>
              <w:t>y</w:t>
            </w:r>
            <w:r>
              <w:rPr>
                <w:rFonts w:ascii="Times New Roman" w:hAnsi="Times New Roman" w:eastAsia="宋体"/>
                <w:b/>
                <w:bCs/>
                <w:kern w:val="24"/>
                <w:sz w:val="18"/>
                <w:szCs w:val="18"/>
              </w:rPr>
              <w:t>0</w:t>
            </w:r>
          </w:p>
        </w:tc>
        <w:tc>
          <w:tcPr>
            <w:tcW w:w="562" w:type="dxa"/>
            <w:tcMar>
              <w:top w:w="15" w:type="dxa"/>
              <w:left w:w="15" w:type="dxa"/>
              <w:bottom w:w="0" w:type="dxa"/>
              <w:right w:w="15" w:type="dxa"/>
            </w:tcMar>
            <w:vAlign w:val="center"/>
          </w:tcPr>
          <w:p>
            <w:pPr>
              <w:widowControl/>
              <w:spacing w:line="240" w:lineRule="auto"/>
              <w:jc w:val="center"/>
              <w:textAlignment w:val="center"/>
              <w:rPr>
                <w:rFonts w:ascii="Times New Roman" w:hAnsi="Times New Roman" w:eastAsia="宋体"/>
                <w:kern w:val="0"/>
                <w:sz w:val="18"/>
                <w:szCs w:val="18"/>
              </w:rPr>
            </w:pPr>
            <w:r>
              <w:rPr>
                <w:rFonts w:ascii="Times New Roman" w:hAnsi="Times New Roman" w:eastAsia="宋体"/>
                <w:b/>
                <w:bCs/>
                <w:kern w:val="24"/>
                <w:sz w:val="18"/>
                <w:szCs w:val="18"/>
              </w:rPr>
              <w:t>20</w:t>
            </w:r>
            <w:r>
              <w:rPr>
                <w:rFonts w:hint="eastAsia" w:ascii="Times New Roman" w:hAnsi="Times New Roman" w:eastAsia="宋体"/>
                <w:b/>
                <w:bCs/>
                <w:kern w:val="24"/>
                <w:sz w:val="18"/>
                <w:szCs w:val="18"/>
              </w:rPr>
              <w:t>y</w:t>
            </w:r>
            <w:r>
              <w:rPr>
                <w:rFonts w:ascii="Times New Roman" w:hAnsi="Times New Roman" w:eastAsia="宋体"/>
                <w:b/>
                <w:bCs/>
                <w:kern w:val="24"/>
                <w:sz w:val="18"/>
                <w:szCs w:val="18"/>
              </w:rPr>
              <w:t>1</w:t>
            </w:r>
          </w:p>
        </w:tc>
        <w:tc>
          <w:tcPr>
            <w:tcW w:w="562" w:type="dxa"/>
            <w:tcMar>
              <w:top w:w="15" w:type="dxa"/>
              <w:left w:w="15" w:type="dxa"/>
              <w:bottom w:w="0" w:type="dxa"/>
              <w:right w:w="15" w:type="dxa"/>
            </w:tcMar>
            <w:vAlign w:val="center"/>
          </w:tcPr>
          <w:p>
            <w:pPr>
              <w:widowControl/>
              <w:spacing w:line="240" w:lineRule="auto"/>
              <w:jc w:val="center"/>
              <w:textAlignment w:val="center"/>
              <w:rPr>
                <w:rFonts w:ascii="Times New Roman" w:hAnsi="Times New Roman" w:eastAsia="宋体"/>
                <w:kern w:val="0"/>
                <w:sz w:val="18"/>
                <w:szCs w:val="18"/>
              </w:rPr>
            </w:pPr>
            <w:r>
              <w:rPr>
                <w:rFonts w:ascii="Times New Roman" w:hAnsi="Times New Roman" w:eastAsia="宋体"/>
                <w:b/>
                <w:bCs/>
                <w:kern w:val="24"/>
                <w:sz w:val="18"/>
                <w:szCs w:val="18"/>
              </w:rPr>
              <w:t>20</w:t>
            </w:r>
            <w:r>
              <w:rPr>
                <w:rFonts w:hint="eastAsia" w:ascii="Times New Roman" w:hAnsi="Times New Roman" w:eastAsia="宋体"/>
                <w:b/>
                <w:bCs/>
                <w:kern w:val="24"/>
                <w:sz w:val="18"/>
                <w:szCs w:val="18"/>
              </w:rPr>
              <w:t>y</w:t>
            </w:r>
            <w:r>
              <w:rPr>
                <w:rFonts w:ascii="Times New Roman" w:hAnsi="Times New Roman" w:eastAsia="宋体"/>
                <w:b/>
                <w:bCs/>
                <w:kern w:val="24"/>
                <w:sz w:val="18"/>
                <w:szCs w:val="18"/>
              </w:rPr>
              <w:t>2</w:t>
            </w:r>
          </w:p>
        </w:tc>
        <w:tc>
          <w:tcPr>
            <w:tcW w:w="562" w:type="dxa"/>
            <w:tcMar>
              <w:top w:w="15" w:type="dxa"/>
              <w:left w:w="15" w:type="dxa"/>
              <w:bottom w:w="0" w:type="dxa"/>
              <w:right w:w="15" w:type="dxa"/>
            </w:tcMar>
            <w:vAlign w:val="center"/>
          </w:tcPr>
          <w:p>
            <w:pPr>
              <w:widowControl/>
              <w:spacing w:line="240" w:lineRule="auto"/>
              <w:jc w:val="center"/>
              <w:textAlignment w:val="center"/>
              <w:rPr>
                <w:rFonts w:ascii="Times New Roman" w:hAnsi="Times New Roman" w:eastAsia="宋体"/>
                <w:kern w:val="0"/>
                <w:sz w:val="18"/>
                <w:szCs w:val="18"/>
              </w:rPr>
            </w:pPr>
            <w:r>
              <w:rPr>
                <w:rFonts w:ascii="Times New Roman" w:hAnsi="Times New Roman" w:eastAsia="宋体"/>
                <w:b/>
                <w:bCs/>
                <w:kern w:val="24"/>
                <w:sz w:val="18"/>
                <w:szCs w:val="18"/>
              </w:rPr>
              <w:t>20</w:t>
            </w:r>
            <w:r>
              <w:rPr>
                <w:rFonts w:hint="eastAsia" w:ascii="Times New Roman" w:hAnsi="Times New Roman" w:eastAsia="宋体"/>
                <w:b/>
                <w:bCs/>
                <w:kern w:val="24"/>
                <w:sz w:val="18"/>
                <w:szCs w:val="18"/>
              </w:rPr>
              <w:t>y</w:t>
            </w:r>
            <w:r>
              <w:rPr>
                <w:rFonts w:ascii="Times New Roman" w:hAnsi="Times New Roman" w:eastAsia="宋体"/>
                <w:b/>
                <w:bCs/>
                <w:kern w:val="24"/>
                <w:sz w:val="18"/>
                <w:szCs w:val="18"/>
              </w:rPr>
              <w:t>3</w:t>
            </w:r>
          </w:p>
        </w:tc>
        <w:tc>
          <w:tcPr>
            <w:tcW w:w="562" w:type="dxa"/>
            <w:tcMar>
              <w:top w:w="15" w:type="dxa"/>
              <w:left w:w="15" w:type="dxa"/>
              <w:bottom w:w="0" w:type="dxa"/>
              <w:right w:w="15" w:type="dxa"/>
            </w:tcMar>
            <w:vAlign w:val="center"/>
          </w:tcPr>
          <w:p>
            <w:pPr>
              <w:widowControl/>
              <w:spacing w:line="240" w:lineRule="auto"/>
              <w:jc w:val="center"/>
              <w:textAlignment w:val="center"/>
              <w:rPr>
                <w:rFonts w:ascii="Times New Roman" w:hAnsi="Times New Roman" w:eastAsia="宋体"/>
                <w:kern w:val="0"/>
                <w:sz w:val="18"/>
                <w:szCs w:val="18"/>
              </w:rPr>
            </w:pPr>
            <w:r>
              <w:rPr>
                <w:rFonts w:ascii="Times New Roman" w:hAnsi="Times New Roman" w:eastAsia="宋体"/>
                <w:b/>
                <w:bCs/>
                <w:kern w:val="24"/>
                <w:sz w:val="18"/>
                <w:szCs w:val="18"/>
              </w:rPr>
              <w:t>20</w:t>
            </w:r>
            <w:r>
              <w:rPr>
                <w:rFonts w:hint="eastAsia" w:ascii="Times New Roman" w:hAnsi="Times New Roman" w:eastAsia="宋体"/>
                <w:b/>
                <w:bCs/>
                <w:kern w:val="24"/>
                <w:sz w:val="18"/>
                <w:szCs w:val="18"/>
              </w:rPr>
              <w:t>y</w:t>
            </w:r>
            <w:r>
              <w:rPr>
                <w:rFonts w:ascii="Times New Roman" w:hAnsi="Times New Roman" w:eastAsia="宋体"/>
                <w:b/>
                <w:bCs/>
                <w:kern w:val="24"/>
                <w:sz w:val="18"/>
                <w:szCs w:val="18"/>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186" w:hRule="atLeast"/>
        </w:trPr>
        <w:tc>
          <w:tcPr>
            <w:tcW w:w="2232" w:type="dxa"/>
            <w:tcMar>
              <w:top w:w="15" w:type="dxa"/>
              <w:left w:w="15" w:type="dxa"/>
              <w:bottom w:w="0" w:type="dxa"/>
              <w:right w:w="15" w:type="dxa"/>
            </w:tcMar>
            <w:vAlign w:val="center"/>
          </w:tcPr>
          <w:p>
            <w:pPr>
              <w:widowControl/>
              <w:spacing w:line="240" w:lineRule="auto"/>
              <w:jc w:val="left"/>
              <w:textAlignment w:val="bottom"/>
              <w:rPr>
                <w:rFonts w:ascii="Times New Roman" w:hAnsi="Times New Roman" w:eastAsia="宋体"/>
                <w:kern w:val="0"/>
                <w:sz w:val="18"/>
                <w:szCs w:val="18"/>
              </w:rPr>
            </w:pPr>
            <w:r>
              <w:rPr>
                <w:rFonts w:ascii="Times New Roman" w:hAnsi="宋体" w:eastAsia="宋体"/>
                <w:kern w:val="24"/>
                <w:sz w:val="18"/>
                <w:szCs w:val="18"/>
              </w:rPr>
              <w:t>人力总数</w:t>
            </w:r>
          </w:p>
        </w:tc>
        <w:tc>
          <w:tcPr>
            <w:tcW w:w="562" w:type="dxa"/>
            <w:tcMar>
              <w:top w:w="15" w:type="dxa"/>
              <w:left w:w="15" w:type="dxa"/>
              <w:bottom w:w="0" w:type="dxa"/>
              <w:right w:w="15" w:type="dxa"/>
            </w:tcMar>
            <w:vAlign w:val="center"/>
          </w:tcPr>
          <w:p>
            <w:pPr>
              <w:widowControl/>
              <w:spacing w:line="240" w:lineRule="auto"/>
              <w:jc w:val="center"/>
              <w:textAlignment w:val="bottom"/>
              <w:rPr>
                <w:rFonts w:ascii="Times New Roman" w:hAnsi="Times New Roman" w:eastAsia="宋体"/>
                <w:kern w:val="0"/>
                <w:sz w:val="18"/>
                <w:szCs w:val="18"/>
              </w:rPr>
            </w:pPr>
            <w:r>
              <w:rPr>
                <w:rFonts w:ascii="Times New Roman" w:hAnsi="Times New Roman" w:eastAsia="宋体"/>
                <w:kern w:val="24"/>
                <w:sz w:val="18"/>
                <w:szCs w:val="18"/>
              </w:rPr>
              <w:t>2,588</w:t>
            </w:r>
          </w:p>
        </w:tc>
        <w:tc>
          <w:tcPr>
            <w:tcW w:w="562" w:type="dxa"/>
            <w:tcMar>
              <w:top w:w="15" w:type="dxa"/>
              <w:left w:w="15" w:type="dxa"/>
              <w:bottom w:w="0" w:type="dxa"/>
              <w:right w:w="15" w:type="dxa"/>
            </w:tcMar>
            <w:vAlign w:val="center"/>
          </w:tcPr>
          <w:p>
            <w:pPr>
              <w:widowControl/>
              <w:spacing w:line="240" w:lineRule="auto"/>
              <w:jc w:val="center"/>
              <w:textAlignment w:val="bottom"/>
              <w:rPr>
                <w:rFonts w:ascii="Times New Roman" w:hAnsi="Times New Roman" w:eastAsia="宋体"/>
                <w:kern w:val="0"/>
                <w:sz w:val="18"/>
                <w:szCs w:val="18"/>
              </w:rPr>
            </w:pPr>
            <w:r>
              <w:rPr>
                <w:rFonts w:ascii="Times New Roman" w:hAnsi="Times New Roman" w:eastAsia="宋体"/>
                <w:kern w:val="24"/>
                <w:sz w:val="18"/>
                <w:szCs w:val="18"/>
              </w:rPr>
              <w:t>2,710</w:t>
            </w:r>
          </w:p>
        </w:tc>
        <w:tc>
          <w:tcPr>
            <w:tcW w:w="562" w:type="dxa"/>
            <w:tcMar>
              <w:top w:w="15" w:type="dxa"/>
              <w:left w:w="15" w:type="dxa"/>
              <w:bottom w:w="0" w:type="dxa"/>
              <w:right w:w="15" w:type="dxa"/>
            </w:tcMar>
            <w:vAlign w:val="center"/>
          </w:tcPr>
          <w:p>
            <w:pPr>
              <w:widowControl/>
              <w:spacing w:line="240" w:lineRule="auto"/>
              <w:jc w:val="center"/>
              <w:textAlignment w:val="bottom"/>
              <w:rPr>
                <w:rFonts w:ascii="Times New Roman" w:hAnsi="Times New Roman" w:eastAsia="宋体"/>
                <w:kern w:val="0"/>
                <w:sz w:val="18"/>
                <w:szCs w:val="18"/>
              </w:rPr>
            </w:pPr>
            <w:r>
              <w:rPr>
                <w:rFonts w:ascii="Times New Roman" w:hAnsi="Times New Roman" w:eastAsia="宋体"/>
                <w:kern w:val="24"/>
                <w:sz w:val="18"/>
                <w:szCs w:val="18"/>
              </w:rPr>
              <w:t>2,888</w:t>
            </w:r>
          </w:p>
        </w:tc>
        <w:tc>
          <w:tcPr>
            <w:tcW w:w="562" w:type="dxa"/>
            <w:tcMar>
              <w:top w:w="15" w:type="dxa"/>
              <w:left w:w="15" w:type="dxa"/>
              <w:bottom w:w="0" w:type="dxa"/>
              <w:right w:w="15" w:type="dxa"/>
            </w:tcMar>
            <w:vAlign w:val="center"/>
          </w:tcPr>
          <w:p>
            <w:pPr>
              <w:widowControl/>
              <w:spacing w:line="240" w:lineRule="auto"/>
              <w:jc w:val="center"/>
              <w:textAlignment w:val="bottom"/>
              <w:rPr>
                <w:rFonts w:ascii="Times New Roman" w:hAnsi="Times New Roman" w:eastAsia="宋体"/>
                <w:kern w:val="0"/>
                <w:sz w:val="18"/>
                <w:szCs w:val="18"/>
              </w:rPr>
            </w:pPr>
            <w:r>
              <w:rPr>
                <w:rFonts w:ascii="Times New Roman" w:hAnsi="Times New Roman" w:eastAsia="宋体"/>
                <w:kern w:val="24"/>
                <w:sz w:val="18"/>
                <w:szCs w:val="18"/>
              </w:rPr>
              <w:t>3,105</w:t>
            </w:r>
          </w:p>
        </w:tc>
        <w:tc>
          <w:tcPr>
            <w:tcW w:w="562" w:type="dxa"/>
            <w:tcMar>
              <w:top w:w="15" w:type="dxa"/>
              <w:left w:w="15" w:type="dxa"/>
              <w:bottom w:w="0" w:type="dxa"/>
              <w:right w:w="15" w:type="dxa"/>
            </w:tcMar>
            <w:vAlign w:val="center"/>
          </w:tcPr>
          <w:p>
            <w:pPr>
              <w:widowControl/>
              <w:spacing w:line="240" w:lineRule="auto"/>
              <w:jc w:val="center"/>
              <w:textAlignment w:val="bottom"/>
              <w:rPr>
                <w:rFonts w:ascii="Times New Roman" w:hAnsi="Times New Roman" w:eastAsia="宋体"/>
                <w:kern w:val="0"/>
                <w:sz w:val="18"/>
                <w:szCs w:val="18"/>
              </w:rPr>
            </w:pPr>
            <w:r>
              <w:rPr>
                <w:rFonts w:ascii="Times New Roman" w:hAnsi="Times New Roman" w:eastAsia="宋体"/>
                <w:kern w:val="24"/>
                <w:sz w:val="18"/>
                <w:szCs w:val="18"/>
              </w:rPr>
              <w:t>3,339</w:t>
            </w:r>
          </w:p>
        </w:tc>
        <w:tc>
          <w:tcPr>
            <w:tcW w:w="562" w:type="dxa"/>
            <w:tcMar>
              <w:top w:w="15" w:type="dxa"/>
              <w:left w:w="15" w:type="dxa"/>
              <w:bottom w:w="0" w:type="dxa"/>
              <w:right w:w="15" w:type="dxa"/>
            </w:tcMar>
            <w:vAlign w:val="center"/>
          </w:tcPr>
          <w:p>
            <w:pPr>
              <w:widowControl/>
              <w:spacing w:line="240" w:lineRule="auto"/>
              <w:jc w:val="center"/>
              <w:textAlignment w:val="bottom"/>
              <w:rPr>
                <w:rFonts w:ascii="Times New Roman" w:hAnsi="Times New Roman" w:eastAsia="宋体"/>
                <w:kern w:val="0"/>
                <w:sz w:val="18"/>
                <w:szCs w:val="18"/>
              </w:rPr>
            </w:pPr>
            <w:r>
              <w:rPr>
                <w:rFonts w:ascii="Times New Roman" w:hAnsi="Times New Roman" w:eastAsia="宋体"/>
                <w:kern w:val="24"/>
                <w:sz w:val="18"/>
                <w:szCs w:val="18"/>
              </w:rPr>
              <w:t>3,590</w:t>
            </w:r>
          </w:p>
        </w:tc>
        <w:tc>
          <w:tcPr>
            <w:tcW w:w="562" w:type="dxa"/>
            <w:tcMar>
              <w:top w:w="15" w:type="dxa"/>
              <w:left w:w="15" w:type="dxa"/>
              <w:bottom w:w="0" w:type="dxa"/>
              <w:right w:w="15" w:type="dxa"/>
            </w:tcMar>
            <w:vAlign w:val="center"/>
          </w:tcPr>
          <w:p>
            <w:pPr>
              <w:widowControl/>
              <w:spacing w:line="240" w:lineRule="auto"/>
              <w:jc w:val="center"/>
              <w:textAlignment w:val="bottom"/>
              <w:rPr>
                <w:rFonts w:ascii="Times New Roman" w:hAnsi="Times New Roman" w:eastAsia="宋体"/>
                <w:kern w:val="0"/>
                <w:sz w:val="18"/>
                <w:szCs w:val="18"/>
              </w:rPr>
            </w:pPr>
            <w:r>
              <w:rPr>
                <w:rFonts w:ascii="Times New Roman" w:hAnsi="Times New Roman" w:eastAsia="宋体"/>
                <w:kern w:val="24"/>
                <w:sz w:val="18"/>
                <w:szCs w:val="18"/>
              </w:rPr>
              <w:t>3,826</w:t>
            </w:r>
          </w:p>
        </w:tc>
        <w:tc>
          <w:tcPr>
            <w:tcW w:w="562" w:type="dxa"/>
            <w:tcMar>
              <w:top w:w="15" w:type="dxa"/>
              <w:left w:w="15" w:type="dxa"/>
              <w:bottom w:w="0" w:type="dxa"/>
              <w:right w:w="15" w:type="dxa"/>
            </w:tcMar>
            <w:vAlign w:val="center"/>
          </w:tcPr>
          <w:p>
            <w:pPr>
              <w:widowControl/>
              <w:spacing w:line="240" w:lineRule="auto"/>
              <w:jc w:val="center"/>
              <w:textAlignment w:val="bottom"/>
              <w:rPr>
                <w:rFonts w:ascii="Times New Roman" w:hAnsi="Times New Roman" w:eastAsia="宋体"/>
                <w:kern w:val="0"/>
                <w:sz w:val="18"/>
                <w:szCs w:val="18"/>
              </w:rPr>
            </w:pPr>
            <w:r>
              <w:rPr>
                <w:rFonts w:ascii="Times New Roman" w:hAnsi="Times New Roman" w:eastAsia="宋体"/>
                <w:kern w:val="24"/>
                <w:sz w:val="18"/>
                <w:szCs w:val="18"/>
              </w:rPr>
              <w:t>4,078</w:t>
            </w:r>
          </w:p>
        </w:tc>
        <w:tc>
          <w:tcPr>
            <w:tcW w:w="562" w:type="dxa"/>
            <w:tcMar>
              <w:top w:w="15" w:type="dxa"/>
              <w:left w:w="15" w:type="dxa"/>
              <w:bottom w:w="0" w:type="dxa"/>
              <w:right w:w="15" w:type="dxa"/>
            </w:tcMar>
            <w:vAlign w:val="center"/>
          </w:tcPr>
          <w:p>
            <w:pPr>
              <w:widowControl/>
              <w:spacing w:line="240" w:lineRule="auto"/>
              <w:jc w:val="center"/>
              <w:textAlignment w:val="bottom"/>
              <w:rPr>
                <w:rFonts w:ascii="Times New Roman" w:hAnsi="Times New Roman" w:eastAsia="宋体"/>
                <w:kern w:val="0"/>
                <w:sz w:val="18"/>
                <w:szCs w:val="18"/>
              </w:rPr>
            </w:pPr>
            <w:r>
              <w:rPr>
                <w:rFonts w:ascii="Times New Roman" w:hAnsi="Times New Roman" w:eastAsia="宋体"/>
                <w:kern w:val="24"/>
                <w:sz w:val="18"/>
                <w:szCs w:val="18"/>
              </w:rPr>
              <w:t>4,308</w:t>
            </w:r>
          </w:p>
        </w:tc>
        <w:tc>
          <w:tcPr>
            <w:tcW w:w="562" w:type="dxa"/>
            <w:tcMar>
              <w:top w:w="15" w:type="dxa"/>
              <w:left w:w="15" w:type="dxa"/>
              <w:bottom w:w="0" w:type="dxa"/>
              <w:right w:w="15" w:type="dxa"/>
            </w:tcMar>
            <w:vAlign w:val="center"/>
          </w:tcPr>
          <w:p>
            <w:pPr>
              <w:widowControl/>
              <w:spacing w:line="240" w:lineRule="auto"/>
              <w:jc w:val="center"/>
              <w:textAlignment w:val="bottom"/>
              <w:rPr>
                <w:rFonts w:ascii="Times New Roman" w:hAnsi="Times New Roman" w:eastAsia="宋体"/>
                <w:kern w:val="0"/>
                <w:sz w:val="18"/>
                <w:szCs w:val="18"/>
              </w:rPr>
            </w:pPr>
            <w:r>
              <w:rPr>
                <w:rFonts w:ascii="Times New Roman" w:hAnsi="Times New Roman" w:eastAsia="宋体"/>
                <w:kern w:val="24"/>
                <w:sz w:val="18"/>
                <w:szCs w:val="18"/>
              </w:rPr>
              <w:t>4,551</w:t>
            </w:r>
          </w:p>
        </w:tc>
        <w:tc>
          <w:tcPr>
            <w:tcW w:w="562" w:type="dxa"/>
            <w:tcMar>
              <w:top w:w="15" w:type="dxa"/>
              <w:left w:w="15" w:type="dxa"/>
              <w:bottom w:w="0" w:type="dxa"/>
              <w:right w:w="15" w:type="dxa"/>
            </w:tcMar>
            <w:vAlign w:val="center"/>
          </w:tcPr>
          <w:p>
            <w:pPr>
              <w:widowControl/>
              <w:spacing w:line="240" w:lineRule="auto"/>
              <w:jc w:val="center"/>
              <w:textAlignment w:val="bottom"/>
              <w:rPr>
                <w:rFonts w:ascii="Times New Roman" w:hAnsi="Times New Roman" w:eastAsia="宋体"/>
                <w:kern w:val="0"/>
                <w:sz w:val="18"/>
                <w:szCs w:val="18"/>
              </w:rPr>
            </w:pPr>
            <w:r>
              <w:rPr>
                <w:rFonts w:ascii="Times New Roman" w:hAnsi="Times New Roman" w:eastAsia="宋体"/>
                <w:kern w:val="24"/>
                <w:sz w:val="18"/>
                <w:szCs w:val="18"/>
              </w:rPr>
              <w:t>4,765</w:t>
            </w:r>
          </w:p>
        </w:tc>
        <w:tc>
          <w:tcPr>
            <w:tcW w:w="562" w:type="dxa"/>
            <w:tcMar>
              <w:top w:w="15" w:type="dxa"/>
              <w:left w:w="15" w:type="dxa"/>
              <w:bottom w:w="0" w:type="dxa"/>
              <w:right w:w="15" w:type="dxa"/>
            </w:tcMar>
            <w:vAlign w:val="center"/>
          </w:tcPr>
          <w:p>
            <w:pPr>
              <w:widowControl/>
              <w:spacing w:line="240" w:lineRule="auto"/>
              <w:jc w:val="center"/>
              <w:textAlignment w:val="bottom"/>
              <w:rPr>
                <w:rFonts w:ascii="Times New Roman" w:hAnsi="Times New Roman" w:eastAsia="宋体"/>
                <w:kern w:val="0"/>
                <w:sz w:val="18"/>
                <w:szCs w:val="18"/>
              </w:rPr>
            </w:pPr>
            <w:r>
              <w:rPr>
                <w:rFonts w:ascii="Times New Roman" w:hAnsi="Times New Roman" w:eastAsia="宋体"/>
                <w:kern w:val="24"/>
                <w:sz w:val="18"/>
                <w:szCs w:val="18"/>
              </w:rPr>
              <w:t>4,989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186" w:hRule="atLeast"/>
        </w:trPr>
        <w:tc>
          <w:tcPr>
            <w:tcW w:w="2232" w:type="dxa"/>
            <w:tcMar>
              <w:top w:w="15" w:type="dxa"/>
              <w:left w:w="15" w:type="dxa"/>
              <w:bottom w:w="0" w:type="dxa"/>
              <w:right w:w="15" w:type="dxa"/>
            </w:tcMar>
            <w:vAlign w:val="center"/>
          </w:tcPr>
          <w:p>
            <w:pPr>
              <w:widowControl/>
              <w:spacing w:line="240" w:lineRule="auto"/>
              <w:jc w:val="left"/>
              <w:textAlignment w:val="bottom"/>
              <w:rPr>
                <w:rFonts w:ascii="Times New Roman" w:hAnsi="Times New Roman" w:eastAsia="宋体"/>
                <w:kern w:val="0"/>
                <w:sz w:val="18"/>
                <w:szCs w:val="18"/>
              </w:rPr>
            </w:pPr>
            <w:r>
              <w:rPr>
                <w:rFonts w:ascii="Times New Roman" w:hAnsi="宋体" w:eastAsia="宋体"/>
                <w:kern w:val="24"/>
                <w:sz w:val="18"/>
                <w:szCs w:val="18"/>
              </w:rPr>
              <w:t>人力增长率</w:t>
            </w:r>
          </w:p>
        </w:tc>
        <w:tc>
          <w:tcPr>
            <w:tcW w:w="562" w:type="dxa"/>
            <w:tcMar>
              <w:top w:w="15" w:type="dxa"/>
              <w:left w:w="15" w:type="dxa"/>
              <w:bottom w:w="0" w:type="dxa"/>
              <w:right w:w="15" w:type="dxa"/>
            </w:tcMar>
            <w:vAlign w:val="center"/>
          </w:tcPr>
          <w:p>
            <w:pPr>
              <w:widowControl/>
              <w:spacing w:line="240" w:lineRule="auto"/>
              <w:jc w:val="center"/>
              <w:rPr>
                <w:rFonts w:ascii="Times New Roman" w:hAnsi="Times New Roman" w:eastAsia="宋体"/>
                <w:kern w:val="0"/>
                <w:sz w:val="18"/>
                <w:szCs w:val="18"/>
              </w:rPr>
            </w:pPr>
          </w:p>
        </w:tc>
        <w:tc>
          <w:tcPr>
            <w:tcW w:w="562" w:type="dxa"/>
            <w:tcMar>
              <w:top w:w="15" w:type="dxa"/>
              <w:left w:w="15" w:type="dxa"/>
              <w:bottom w:w="0" w:type="dxa"/>
              <w:right w:w="15" w:type="dxa"/>
            </w:tcMar>
            <w:vAlign w:val="center"/>
          </w:tcPr>
          <w:p>
            <w:pPr>
              <w:widowControl/>
              <w:spacing w:line="240" w:lineRule="auto"/>
              <w:jc w:val="center"/>
              <w:textAlignment w:val="bottom"/>
              <w:rPr>
                <w:rFonts w:ascii="Times New Roman" w:hAnsi="Times New Roman" w:eastAsia="宋体"/>
                <w:kern w:val="0"/>
                <w:sz w:val="18"/>
                <w:szCs w:val="18"/>
              </w:rPr>
            </w:pPr>
            <w:r>
              <w:rPr>
                <w:rFonts w:ascii="Times New Roman" w:hAnsi="Times New Roman" w:eastAsia="宋体"/>
                <w:kern w:val="24"/>
                <w:sz w:val="18"/>
                <w:szCs w:val="18"/>
              </w:rPr>
              <w:t>5%</w:t>
            </w:r>
          </w:p>
        </w:tc>
        <w:tc>
          <w:tcPr>
            <w:tcW w:w="562" w:type="dxa"/>
            <w:tcMar>
              <w:top w:w="15" w:type="dxa"/>
              <w:left w:w="15" w:type="dxa"/>
              <w:bottom w:w="0" w:type="dxa"/>
              <w:right w:w="15" w:type="dxa"/>
            </w:tcMar>
            <w:vAlign w:val="center"/>
          </w:tcPr>
          <w:p>
            <w:pPr>
              <w:widowControl/>
              <w:spacing w:line="240" w:lineRule="auto"/>
              <w:jc w:val="center"/>
              <w:textAlignment w:val="bottom"/>
              <w:rPr>
                <w:rFonts w:ascii="Times New Roman" w:hAnsi="Times New Roman" w:eastAsia="宋体"/>
                <w:kern w:val="0"/>
                <w:sz w:val="18"/>
                <w:szCs w:val="18"/>
              </w:rPr>
            </w:pPr>
            <w:r>
              <w:rPr>
                <w:rFonts w:ascii="Times New Roman" w:hAnsi="Times New Roman" w:eastAsia="宋体"/>
                <w:kern w:val="24"/>
                <w:sz w:val="18"/>
                <w:szCs w:val="18"/>
              </w:rPr>
              <w:t>7%</w:t>
            </w:r>
          </w:p>
        </w:tc>
        <w:tc>
          <w:tcPr>
            <w:tcW w:w="562" w:type="dxa"/>
            <w:tcMar>
              <w:top w:w="15" w:type="dxa"/>
              <w:left w:w="15" w:type="dxa"/>
              <w:bottom w:w="0" w:type="dxa"/>
              <w:right w:w="15" w:type="dxa"/>
            </w:tcMar>
            <w:vAlign w:val="center"/>
          </w:tcPr>
          <w:p>
            <w:pPr>
              <w:widowControl/>
              <w:spacing w:line="240" w:lineRule="auto"/>
              <w:jc w:val="center"/>
              <w:textAlignment w:val="bottom"/>
              <w:rPr>
                <w:rFonts w:ascii="Times New Roman" w:hAnsi="Times New Roman" w:eastAsia="宋体"/>
                <w:kern w:val="0"/>
                <w:sz w:val="18"/>
                <w:szCs w:val="18"/>
              </w:rPr>
            </w:pPr>
            <w:r>
              <w:rPr>
                <w:rFonts w:ascii="Times New Roman" w:hAnsi="Times New Roman" w:eastAsia="宋体"/>
                <w:kern w:val="24"/>
                <w:sz w:val="18"/>
                <w:szCs w:val="18"/>
              </w:rPr>
              <w:t>8%</w:t>
            </w:r>
          </w:p>
        </w:tc>
        <w:tc>
          <w:tcPr>
            <w:tcW w:w="562" w:type="dxa"/>
            <w:tcMar>
              <w:top w:w="15" w:type="dxa"/>
              <w:left w:w="15" w:type="dxa"/>
              <w:bottom w:w="0" w:type="dxa"/>
              <w:right w:w="15" w:type="dxa"/>
            </w:tcMar>
            <w:vAlign w:val="center"/>
          </w:tcPr>
          <w:p>
            <w:pPr>
              <w:widowControl/>
              <w:spacing w:line="240" w:lineRule="auto"/>
              <w:jc w:val="center"/>
              <w:textAlignment w:val="bottom"/>
              <w:rPr>
                <w:rFonts w:ascii="Times New Roman" w:hAnsi="Times New Roman" w:eastAsia="宋体"/>
                <w:kern w:val="0"/>
                <w:sz w:val="18"/>
                <w:szCs w:val="18"/>
              </w:rPr>
            </w:pPr>
            <w:r>
              <w:rPr>
                <w:rFonts w:ascii="Times New Roman" w:hAnsi="Times New Roman" w:eastAsia="宋体"/>
                <w:kern w:val="24"/>
                <w:sz w:val="18"/>
                <w:szCs w:val="18"/>
              </w:rPr>
              <w:t>8%</w:t>
            </w:r>
          </w:p>
        </w:tc>
        <w:tc>
          <w:tcPr>
            <w:tcW w:w="562" w:type="dxa"/>
            <w:tcMar>
              <w:top w:w="15" w:type="dxa"/>
              <w:left w:w="15" w:type="dxa"/>
              <w:bottom w:w="0" w:type="dxa"/>
              <w:right w:w="15" w:type="dxa"/>
            </w:tcMar>
            <w:vAlign w:val="center"/>
          </w:tcPr>
          <w:p>
            <w:pPr>
              <w:widowControl/>
              <w:spacing w:line="240" w:lineRule="auto"/>
              <w:jc w:val="center"/>
              <w:textAlignment w:val="bottom"/>
              <w:rPr>
                <w:rFonts w:ascii="Times New Roman" w:hAnsi="Times New Roman" w:eastAsia="宋体"/>
                <w:kern w:val="0"/>
                <w:sz w:val="18"/>
                <w:szCs w:val="18"/>
              </w:rPr>
            </w:pPr>
            <w:r>
              <w:rPr>
                <w:rFonts w:ascii="Times New Roman" w:hAnsi="Times New Roman" w:eastAsia="宋体"/>
                <w:kern w:val="24"/>
                <w:sz w:val="18"/>
                <w:szCs w:val="18"/>
              </w:rPr>
              <w:t>8%</w:t>
            </w:r>
          </w:p>
        </w:tc>
        <w:tc>
          <w:tcPr>
            <w:tcW w:w="562" w:type="dxa"/>
            <w:tcMar>
              <w:top w:w="15" w:type="dxa"/>
              <w:left w:w="15" w:type="dxa"/>
              <w:bottom w:w="0" w:type="dxa"/>
              <w:right w:w="15" w:type="dxa"/>
            </w:tcMar>
            <w:vAlign w:val="center"/>
          </w:tcPr>
          <w:p>
            <w:pPr>
              <w:widowControl/>
              <w:spacing w:line="240" w:lineRule="auto"/>
              <w:jc w:val="center"/>
              <w:textAlignment w:val="bottom"/>
              <w:rPr>
                <w:rFonts w:ascii="Times New Roman" w:hAnsi="Times New Roman" w:eastAsia="宋体"/>
                <w:kern w:val="0"/>
                <w:sz w:val="18"/>
                <w:szCs w:val="18"/>
              </w:rPr>
            </w:pPr>
            <w:r>
              <w:rPr>
                <w:rFonts w:ascii="Times New Roman" w:hAnsi="Times New Roman" w:eastAsia="宋体"/>
                <w:kern w:val="24"/>
                <w:sz w:val="18"/>
                <w:szCs w:val="18"/>
              </w:rPr>
              <w:t>7%</w:t>
            </w:r>
          </w:p>
        </w:tc>
        <w:tc>
          <w:tcPr>
            <w:tcW w:w="562" w:type="dxa"/>
            <w:tcMar>
              <w:top w:w="15" w:type="dxa"/>
              <w:left w:w="15" w:type="dxa"/>
              <w:bottom w:w="0" w:type="dxa"/>
              <w:right w:w="15" w:type="dxa"/>
            </w:tcMar>
            <w:vAlign w:val="center"/>
          </w:tcPr>
          <w:p>
            <w:pPr>
              <w:widowControl/>
              <w:spacing w:line="240" w:lineRule="auto"/>
              <w:jc w:val="center"/>
              <w:textAlignment w:val="bottom"/>
              <w:rPr>
                <w:rFonts w:ascii="Times New Roman" w:hAnsi="Times New Roman" w:eastAsia="宋体"/>
                <w:kern w:val="0"/>
                <w:sz w:val="18"/>
                <w:szCs w:val="18"/>
              </w:rPr>
            </w:pPr>
            <w:r>
              <w:rPr>
                <w:rFonts w:ascii="Times New Roman" w:hAnsi="Times New Roman" w:eastAsia="宋体"/>
                <w:kern w:val="24"/>
                <w:sz w:val="18"/>
                <w:szCs w:val="18"/>
              </w:rPr>
              <w:t>7%</w:t>
            </w:r>
          </w:p>
        </w:tc>
        <w:tc>
          <w:tcPr>
            <w:tcW w:w="562" w:type="dxa"/>
            <w:tcMar>
              <w:top w:w="15" w:type="dxa"/>
              <w:left w:w="15" w:type="dxa"/>
              <w:bottom w:w="0" w:type="dxa"/>
              <w:right w:w="15" w:type="dxa"/>
            </w:tcMar>
            <w:vAlign w:val="center"/>
          </w:tcPr>
          <w:p>
            <w:pPr>
              <w:widowControl/>
              <w:spacing w:line="240" w:lineRule="auto"/>
              <w:jc w:val="center"/>
              <w:textAlignment w:val="bottom"/>
              <w:rPr>
                <w:rFonts w:ascii="Times New Roman" w:hAnsi="Times New Roman" w:eastAsia="宋体"/>
                <w:kern w:val="0"/>
                <w:sz w:val="18"/>
                <w:szCs w:val="18"/>
              </w:rPr>
            </w:pPr>
            <w:r>
              <w:rPr>
                <w:rFonts w:ascii="Times New Roman" w:hAnsi="Times New Roman" w:eastAsia="宋体"/>
                <w:kern w:val="24"/>
                <w:sz w:val="18"/>
                <w:szCs w:val="18"/>
              </w:rPr>
              <w:t>6%</w:t>
            </w:r>
          </w:p>
        </w:tc>
        <w:tc>
          <w:tcPr>
            <w:tcW w:w="562" w:type="dxa"/>
            <w:tcMar>
              <w:top w:w="15" w:type="dxa"/>
              <w:left w:w="15" w:type="dxa"/>
              <w:bottom w:w="0" w:type="dxa"/>
              <w:right w:w="15" w:type="dxa"/>
            </w:tcMar>
            <w:vAlign w:val="center"/>
          </w:tcPr>
          <w:p>
            <w:pPr>
              <w:widowControl/>
              <w:spacing w:line="240" w:lineRule="auto"/>
              <w:jc w:val="center"/>
              <w:textAlignment w:val="bottom"/>
              <w:rPr>
                <w:rFonts w:ascii="Times New Roman" w:hAnsi="Times New Roman" w:eastAsia="宋体"/>
                <w:kern w:val="0"/>
                <w:sz w:val="18"/>
                <w:szCs w:val="18"/>
              </w:rPr>
            </w:pPr>
            <w:r>
              <w:rPr>
                <w:rFonts w:ascii="Times New Roman" w:hAnsi="Times New Roman" w:eastAsia="宋体"/>
                <w:kern w:val="24"/>
                <w:sz w:val="18"/>
                <w:szCs w:val="18"/>
              </w:rPr>
              <w:t>6%</w:t>
            </w:r>
          </w:p>
        </w:tc>
        <w:tc>
          <w:tcPr>
            <w:tcW w:w="562" w:type="dxa"/>
            <w:tcMar>
              <w:top w:w="15" w:type="dxa"/>
              <w:left w:w="15" w:type="dxa"/>
              <w:bottom w:w="0" w:type="dxa"/>
              <w:right w:w="15" w:type="dxa"/>
            </w:tcMar>
            <w:vAlign w:val="center"/>
          </w:tcPr>
          <w:p>
            <w:pPr>
              <w:widowControl/>
              <w:spacing w:line="240" w:lineRule="auto"/>
              <w:jc w:val="center"/>
              <w:textAlignment w:val="bottom"/>
              <w:rPr>
                <w:rFonts w:ascii="Times New Roman" w:hAnsi="Times New Roman" w:eastAsia="宋体"/>
                <w:kern w:val="0"/>
                <w:sz w:val="18"/>
                <w:szCs w:val="18"/>
              </w:rPr>
            </w:pPr>
            <w:r>
              <w:rPr>
                <w:rFonts w:ascii="Times New Roman" w:hAnsi="Times New Roman" w:eastAsia="宋体"/>
                <w:kern w:val="24"/>
                <w:sz w:val="18"/>
                <w:szCs w:val="18"/>
              </w:rPr>
              <w:t>5%</w:t>
            </w:r>
          </w:p>
        </w:tc>
        <w:tc>
          <w:tcPr>
            <w:tcW w:w="562" w:type="dxa"/>
            <w:tcMar>
              <w:top w:w="15" w:type="dxa"/>
              <w:left w:w="15" w:type="dxa"/>
              <w:bottom w:w="0" w:type="dxa"/>
              <w:right w:w="15" w:type="dxa"/>
            </w:tcMar>
            <w:vAlign w:val="center"/>
          </w:tcPr>
          <w:p>
            <w:pPr>
              <w:widowControl/>
              <w:spacing w:line="240" w:lineRule="auto"/>
              <w:jc w:val="center"/>
              <w:textAlignment w:val="bottom"/>
              <w:rPr>
                <w:rFonts w:ascii="Times New Roman" w:hAnsi="Times New Roman" w:eastAsia="宋体"/>
                <w:kern w:val="0"/>
                <w:sz w:val="18"/>
                <w:szCs w:val="18"/>
              </w:rPr>
            </w:pPr>
            <w:r>
              <w:rPr>
                <w:rFonts w:ascii="Times New Roman" w:hAnsi="Times New Roman" w:eastAsia="宋体"/>
                <w:kern w:val="24"/>
                <w:sz w:val="18"/>
                <w:szCs w:val="18"/>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186" w:hRule="atLeast"/>
        </w:trPr>
        <w:tc>
          <w:tcPr>
            <w:tcW w:w="2232" w:type="dxa"/>
            <w:tcMar>
              <w:top w:w="15" w:type="dxa"/>
              <w:left w:w="15" w:type="dxa"/>
              <w:bottom w:w="0" w:type="dxa"/>
              <w:right w:w="15" w:type="dxa"/>
            </w:tcMar>
            <w:vAlign w:val="center"/>
          </w:tcPr>
          <w:p>
            <w:pPr>
              <w:widowControl/>
              <w:spacing w:line="240" w:lineRule="auto"/>
              <w:jc w:val="left"/>
              <w:textAlignment w:val="bottom"/>
              <w:rPr>
                <w:rFonts w:ascii="Times New Roman" w:hAnsi="Times New Roman" w:eastAsia="宋体"/>
                <w:kern w:val="0"/>
                <w:sz w:val="18"/>
                <w:szCs w:val="18"/>
              </w:rPr>
            </w:pPr>
            <w:r>
              <w:rPr>
                <w:rFonts w:ascii="Times New Roman" w:hAnsi="宋体" w:eastAsia="宋体"/>
                <w:kern w:val="24"/>
                <w:sz w:val="18"/>
                <w:szCs w:val="18"/>
              </w:rPr>
              <w:t>人员活动率</w:t>
            </w:r>
          </w:p>
        </w:tc>
        <w:tc>
          <w:tcPr>
            <w:tcW w:w="562" w:type="dxa"/>
            <w:tcMar>
              <w:top w:w="15" w:type="dxa"/>
              <w:left w:w="15" w:type="dxa"/>
              <w:bottom w:w="0" w:type="dxa"/>
              <w:right w:w="15" w:type="dxa"/>
            </w:tcMar>
            <w:vAlign w:val="center"/>
          </w:tcPr>
          <w:p>
            <w:pPr>
              <w:widowControl/>
              <w:spacing w:line="240" w:lineRule="auto"/>
              <w:jc w:val="center"/>
              <w:textAlignment w:val="bottom"/>
              <w:rPr>
                <w:rFonts w:ascii="Times New Roman" w:hAnsi="Times New Roman" w:eastAsia="宋体"/>
                <w:kern w:val="0"/>
                <w:sz w:val="18"/>
                <w:szCs w:val="18"/>
              </w:rPr>
            </w:pPr>
            <w:r>
              <w:rPr>
                <w:rFonts w:ascii="Times New Roman" w:hAnsi="Times New Roman" w:eastAsia="宋体"/>
                <w:kern w:val="24"/>
                <w:sz w:val="18"/>
                <w:szCs w:val="18"/>
              </w:rPr>
              <w:t>30%</w:t>
            </w:r>
          </w:p>
        </w:tc>
        <w:tc>
          <w:tcPr>
            <w:tcW w:w="562" w:type="dxa"/>
            <w:tcMar>
              <w:top w:w="15" w:type="dxa"/>
              <w:left w:w="15" w:type="dxa"/>
              <w:bottom w:w="0" w:type="dxa"/>
              <w:right w:w="15" w:type="dxa"/>
            </w:tcMar>
            <w:vAlign w:val="center"/>
          </w:tcPr>
          <w:p>
            <w:pPr>
              <w:widowControl/>
              <w:spacing w:line="240" w:lineRule="auto"/>
              <w:jc w:val="center"/>
              <w:textAlignment w:val="bottom"/>
              <w:rPr>
                <w:rFonts w:ascii="Times New Roman" w:hAnsi="Times New Roman" w:eastAsia="宋体"/>
                <w:kern w:val="0"/>
                <w:sz w:val="18"/>
                <w:szCs w:val="18"/>
              </w:rPr>
            </w:pPr>
            <w:r>
              <w:rPr>
                <w:rFonts w:ascii="Times New Roman" w:hAnsi="Times New Roman" w:eastAsia="宋体"/>
                <w:kern w:val="24"/>
                <w:sz w:val="18"/>
                <w:szCs w:val="18"/>
              </w:rPr>
              <w:t>31%</w:t>
            </w:r>
          </w:p>
        </w:tc>
        <w:tc>
          <w:tcPr>
            <w:tcW w:w="562" w:type="dxa"/>
            <w:tcMar>
              <w:top w:w="15" w:type="dxa"/>
              <w:left w:w="15" w:type="dxa"/>
              <w:bottom w:w="0" w:type="dxa"/>
              <w:right w:w="15" w:type="dxa"/>
            </w:tcMar>
            <w:vAlign w:val="center"/>
          </w:tcPr>
          <w:p>
            <w:pPr>
              <w:widowControl/>
              <w:spacing w:line="240" w:lineRule="auto"/>
              <w:jc w:val="center"/>
              <w:textAlignment w:val="bottom"/>
              <w:rPr>
                <w:rFonts w:ascii="Times New Roman" w:hAnsi="Times New Roman" w:eastAsia="宋体"/>
                <w:kern w:val="0"/>
                <w:sz w:val="18"/>
                <w:szCs w:val="18"/>
              </w:rPr>
            </w:pPr>
            <w:r>
              <w:rPr>
                <w:rFonts w:ascii="Times New Roman" w:hAnsi="Times New Roman" w:eastAsia="宋体"/>
                <w:kern w:val="24"/>
                <w:sz w:val="18"/>
                <w:szCs w:val="18"/>
              </w:rPr>
              <w:t>32%</w:t>
            </w:r>
          </w:p>
        </w:tc>
        <w:tc>
          <w:tcPr>
            <w:tcW w:w="562" w:type="dxa"/>
            <w:tcMar>
              <w:top w:w="15" w:type="dxa"/>
              <w:left w:w="15" w:type="dxa"/>
              <w:bottom w:w="0" w:type="dxa"/>
              <w:right w:w="15" w:type="dxa"/>
            </w:tcMar>
            <w:vAlign w:val="center"/>
          </w:tcPr>
          <w:p>
            <w:pPr>
              <w:widowControl/>
              <w:spacing w:line="240" w:lineRule="auto"/>
              <w:jc w:val="center"/>
              <w:textAlignment w:val="bottom"/>
              <w:rPr>
                <w:rFonts w:ascii="Times New Roman" w:hAnsi="Times New Roman" w:eastAsia="宋体"/>
                <w:kern w:val="0"/>
                <w:sz w:val="18"/>
                <w:szCs w:val="18"/>
              </w:rPr>
            </w:pPr>
            <w:r>
              <w:rPr>
                <w:rFonts w:ascii="Times New Roman" w:hAnsi="Times New Roman" w:eastAsia="宋体"/>
                <w:kern w:val="24"/>
                <w:sz w:val="18"/>
                <w:szCs w:val="18"/>
              </w:rPr>
              <w:t>33%</w:t>
            </w:r>
          </w:p>
        </w:tc>
        <w:tc>
          <w:tcPr>
            <w:tcW w:w="562" w:type="dxa"/>
            <w:tcMar>
              <w:top w:w="15" w:type="dxa"/>
              <w:left w:w="15" w:type="dxa"/>
              <w:bottom w:w="0" w:type="dxa"/>
              <w:right w:w="15" w:type="dxa"/>
            </w:tcMar>
            <w:vAlign w:val="center"/>
          </w:tcPr>
          <w:p>
            <w:pPr>
              <w:widowControl/>
              <w:spacing w:line="240" w:lineRule="auto"/>
              <w:jc w:val="center"/>
              <w:textAlignment w:val="bottom"/>
              <w:rPr>
                <w:rFonts w:ascii="Times New Roman" w:hAnsi="Times New Roman" w:eastAsia="宋体"/>
                <w:kern w:val="0"/>
                <w:sz w:val="18"/>
                <w:szCs w:val="18"/>
              </w:rPr>
            </w:pPr>
            <w:r>
              <w:rPr>
                <w:rFonts w:ascii="Times New Roman" w:hAnsi="Times New Roman" w:eastAsia="宋体"/>
                <w:kern w:val="24"/>
                <w:sz w:val="18"/>
                <w:szCs w:val="18"/>
              </w:rPr>
              <w:t>34%</w:t>
            </w:r>
          </w:p>
        </w:tc>
        <w:tc>
          <w:tcPr>
            <w:tcW w:w="562" w:type="dxa"/>
            <w:tcMar>
              <w:top w:w="15" w:type="dxa"/>
              <w:left w:w="15" w:type="dxa"/>
              <w:bottom w:w="0" w:type="dxa"/>
              <w:right w:w="15" w:type="dxa"/>
            </w:tcMar>
            <w:vAlign w:val="center"/>
          </w:tcPr>
          <w:p>
            <w:pPr>
              <w:widowControl/>
              <w:spacing w:line="240" w:lineRule="auto"/>
              <w:jc w:val="center"/>
              <w:textAlignment w:val="bottom"/>
              <w:rPr>
                <w:rFonts w:ascii="Times New Roman" w:hAnsi="Times New Roman" w:eastAsia="宋体"/>
                <w:kern w:val="0"/>
                <w:sz w:val="18"/>
                <w:szCs w:val="18"/>
              </w:rPr>
            </w:pPr>
            <w:r>
              <w:rPr>
                <w:rFonts w:ascii="Times New Roman" w:hAnsi="Times New Roman" w:eastAsia="宋体"/>
                <w:kern w:val="24"/>
                <w:sz w:val="18"/>
                <w:szCs w:val="18"/>
              </w:rPr>
              <w:t>35%</w:t>
            </w:r>
          </w:p>
        </w:tc>
        <w:tc>
          <w:tcPr>
            <w:tcW w:w="562" w:type="dxa"/>
            <w:tcMar>
              <w:top w:w="15" w:type="dxa"/>
              <w:left w:w="15" w:type="dxa"/>
              <w:bottom w:w="0" w:type="dxa"/>
              <w:right w:w="15" w:type="dxa"/>
            </w:tcMar>
            <w:vAlign w:val="center"/>
          </w:tcPr>
          <w:p>
            <w:pPr>
              <w:widowControl/>
              <w:spacing w:line="240" w:lineRule="auto"/>
              <w:jc w:val="center"/>
              <w:textAlignment w:val="bottom"/>
              <w:rPr>
                <w:rFonts w:ascii="Times New Roman" w:hAnsi="Times New Roman" w:eastAsia="宋体"/>
                <w:kern w:val="0"/>
                <w:sz w:val="18"/>
                <w:szCs w:val="18"/>
              </w:rPr>
            </w:pPr>
            <w:r>
              <w:rPr>
                <w:rFonts w:ascii="Times New Roman" w:hAnsi="Times New Roman" w:eastAsia="宋体"/>
                <w:kern w:val="24"/>
                <w:sz w:val="18"/>
                <w:szCs w:val="18"/>
              </w:rPr>
              <w:t>36%</w:t>
            </w:r>
          </w:p>
        </w:tc>
        <w:tc>
          <w:tcPr>
            <w:tcW w:w="562" w:type="dxa"/>
            <w:tcMar>
              <w:top w:w="15" w:type="dxa"/>
              <w:left w:w="15" w:type="dxa"/>
              <w:bottom w:w="0" w:type="dxa"/>
              <w:right w:w="15" w:type="dxa"/>
            </w:tcMar>
            <w:vAlign w:val="center"/>
          </w:tcPr>
          <w:p>
            <w:pPr>
              <w:widowControl/>
              <w:spacing w:line="240" w:lineRule="auto"/>
              <w:jc w:val="center"/>
              <w:textAlignment w:val="bottom"/>
              <w:rPr>
                <w:rFonts w:ascii="Times New Roman" w:hAnsi="Times New Roman" w:eastAsia="宋体"/>
                <w:kern w:val="0"/>
                <w:sz w:val="18"/>
                <w:szCs w:val="18"/>
              </w:rPr>
            </w:pPr>
            <w:r>
              <w:rPr>
                <w:rFonts w:ascii="Times New Roman" w:hAnsi="Times New Roman" w:eastAsia="宋体"/>
                <w:kern w:val="24"/>
                <w:sz w:val="18"/>
                <w:szCs w:val="18"/>
              </w:rPr>
              <w:t>37%</w:t>
            </w:r>
          </w:p>
        </w:tc>
        <w:tc>
          <w:tcPr>
            <w:tcW w:w="562" w:type="dxa"/>
            <w:tcMar>
              <w:top w:w="15" w:type="dxa"/>
              <w:left w:w="15" w:type="dxa"/>
              <w:bottom w:w="0" w:type="dxa"/>
              <w:right w:w="15" w:type="dxa"/>
            </w:tcMar>
            <w:vAlign w:val="center"/>
          </w:tcPr>
          <w:p>
            <w:pPr>
              <w:widowControl/>
              <w:spacing w:line="240" w:lineRule="auto"/>
              <w:jc w:val="center"/>
              <w:textAlignment w:val="bottom"/>
              <w:rPr>
                <w:rFonts w:ascii="Times New Roman" w:hAnsi="Times New Roman" w:eastAsia="宋体"/>
                <w:kern w:val="0"/>
                <w:sz w:val="18"/>
                <w:szCs w:val="18"/>
              </w:rPr>
            </w:pPr>
            <w:r>
              <w:rPr>
                <w:rFonts w:ascii="Times New Roman" w:hAnsi="Times New Roman" w:eastAsia="宋体"/>
                <w:kern w:val="24"/>
                <w:sz w:val="18"/>
                <w:szCs w:val="18"/>
              </w:rPr>
              <w:t>38%</w:t>
            </w:r>
          </w:p>
        </w:tc>
        <w:tc>
          <w:tcPr>
            <w:tcW w:w="562" w:type="dxa"/>
            <w:tcMar>
              <w:top w:w="15" w:type="dxa"/>
              <w:left w:w="15" w:type="dxa"/>
              <w:bottom w:w="0" w:type="dxa"/>
              <w:right w:w="15" w:type="dxa"/>
            </w:tcMar>
            <w:vAlign w:val="center"/>
          </w:tcPr>
          <w:p>
            <w:pPr>
              <w:widowControl/>
              <w:spacing w:line="240" w:lineRule="auto"/>
              <w:jc w:val="center"/>
              <w:textAlignment w:val="bottom"/>
              <w:rPr>
                <w:rFonts w:ascii="Times New Roman" w:hAnsi="Times New Roman" w:eastAsia="宋体"/>
                <w:kern w:val="0"/>
                <w:sz w:val="18"/>
                <w:szCs w:val="18"/>
              </w:rPr>
            </w:pPr>
            <w:r>
              <w:rPr>
                <w:rFonts w:ascii="Times New Roman" w:hAnsi="Times New Roman" w:eastAsia="宋体"/>
                <w:kern w:val="24"/>
                <w:sz w:val="18"/>
                <w:szCs w:val="18"/>
              </w:rPr>
              <w:t>38%</w:t>
            </w:r>
          </w:p>
        </w:tc>
        <w:tc>
          <w:tcPr>
            <w:tcW w:w="562" w:type="dxa"/>
            <w:tcMar>
              <w:top w:w="15" w:type="dxa"/>
              <w:left w:w="15" w:type="dxa"/>
              <w:bottom w:w="0" w:type="dxa"/>
              <w:right w:w="15" w:type="dxa"/>
            </w:tcMar>
            <w:vAlign w:val="center"/>
          </w:tcPr>
          <w:p>
            <w:pPr>
              <w:widowControl/>
              <w:spacing w:line="240" w:lineRule="auto"/>
              <w:jc w:val="center"/>
              <w:textAlignment w:val="bottom"/>
              <w:rPr>
                <w:rFonts w:ascii="Times New Roman" w:hAnsi="Times New Roman" w:eastAsia="宋体"/>
                <w:kern w:val="0"/>
                <w:sz w:val="18"/>
                <w:szCs w:val="18"/>
              </w:rPr>
            </w:pPr>
            <w:r>
              <w:rPr>
                <w:rFonts w:ascii="Times New Roman" w:hAnsi="Times New Roman" w:eastAsia="宋体"/>
                <w:kern w:val="24"/>
                <w:sz w:val="18"/>
                <w:szCs w:val="18"/>
              </w:rPr>
              <w:t>39%</w:t>
            </w:r>
          </w:p>
        </w:tc>
        <w:tc>
          <w:tcPr>
            <w:tcW w:w="562" w:type="dxa"/>
            <w:tcMar>
              <w:top w:w="15" w:type="dxa"/>
              <w:left w:w="15" w:type="dxa"/>
              <w:bottom w:w="0" w:type="dxa"/>
              <w:right w:w="15" w:type="dxa"/>
            </w:tcMar>
            <w:vAlign w:val="center"/>
          </w:tcPr>
          <w:p>
            <w:pPr>
              <w:widowControl/>
              <w:spacing w:line="240" w:lineRule="auto"/>
              <w:jc w:val="center"/>
              <w:textAlignment w:val="bottom"/>
              <w:rPr>
                <w:rFonts w:ascii="Times New Roman" w:hAnsi="Times New Roman" w:eastAsia="宋体"/>
                <w:kern w:val="0"/>
                <w:sz w:val="18"/>
                <w:szCs w:val="18"/>
              </w:rPr>
            </w:pPr>
            <w:r>
              <w:rPr>
                <w:rFonts w:ascii="Times New Roman" w:hAnsi="Times New Roman" w:eastAsia="宋体"/>
                <w:kern w:val="24"/>
                <w:sz w:val="18"/>
                <w:szCs w:val="18"/>
              </w:rPr>
              <w:t>39%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186" w:hRule="atLeast"/>
        </w:trPr>
        <w:tc>
          <w:tcPr>
            <w:tcW w:w="2232" w:type="dxa"/>
            <w:tcMar>
              <w:top w:w="15" w:type="dxa"/>
              <w:left w:w="15" w:type="dxa"/>
              <w:bottom w:w="0" w:type="dxa"/>
              <w:right w:w="15" w:type="dxa"/>
            </w:tcMar>
            <w:vAlign w:val="center"/>
          </w:tcPr>
          <w:p>
            <w:pPr>
              <w:widowControl/>
              <w:spacing w:line="240" w:lineRule="auto"/>
              <w:jc w:val="left"/>
              <w:textAlignment w:val="bottom"/>
              <w:rPr>
                <w:rFonts w:ascii="Times New Roman" w:hAnsi="Times New Roman" w:eastAsia="宋体"/>
                <w:kern w:val="0"/>
                <w:sz w:val="18"/>
                <w:szCs w:val="18"/>
              </w:rPr>
            </w:pPr>
            <w:r>
              <w:rPr>
                <w:rFonts w:ascii="Times New Roman" w:hAnsi="宋体" w:eastAsia="宋体"/>
                <w:kern w:val="24"/>
                <w:sz w:val="18"/>
                <w:szCs w:val="18"/>
              </w:rPr>
              <w:t>活动人力月均产能（元）</w:t>
            </w:r>
          </w:p>
        </w:tc>
        <w:tc>
          <w:tcPr>
            <w:tcW w:w="562" w:type="dxa"/>
            <w:tcMar>
              <w:top w:w="15" w:type="dxa"/>
              <w:left w:w="15" w:type="dxa"/>
              <w:bottom w:w="0" w:type="dxa"/>
              <w:right w:w="15" w:type="dxa"/>
            </w:tcMar>
            <w:vAlign w:val="center"/>
          </w:tcPr>
          <w:p>
            <w:pPr>
              <w:widowControl/>
              <w:spacing w:line="240" w:lineRule="auto"/>
              <w:jc w:val="center"/>
              <w:textAlignment w:val="bottom"/>
              <w:rPr>
                <w:rFonts w:ascii="Times New Roman" w:hAnsi="Times New Roman" w:eastAsia="宋体"/>
                <w:kern w:val="0"/>
                <w:sz w:val="18"/>
                <w:szCs w:val="18"/>
              </w:rPr>
            </w:pPr>
            <w:r>
              <w:rPr>
                <w:rFonts w:ascii="Times New Roman" w:hAnsi="Times New Roman" w:eastAsia="宋体"/>
                <w:kern w:val="24"/>
                <w:sz w:val="18"/>
                <w:szCs w:val="18"/>
              </w:rPr>
              <w:t>13,555</w:t>
            </w:r>
          </w:p>
        </w:tc>
        <w:tc>
          <w:tcPr>
            <w:tcW w:w="562" w:type="dxa"/>
            <w:tcMar>
              <w:top w:w="15" w:type="dxa"/>
              <w:left w:w="15" w:type="dxa"/>
              <w:bottom w:w="0" w:type="dxa"/>
              <w:right w:w="15" w:type="dxa"/>
            </w:tcMar>
            <w:vAlign w:val="center"/>
          </w:tcPr>
          <w:p>
            <w:pPr>
              <w:widowControl/>
              <w:spacing w:line="240" w:lineRule="auto"/>
              <w:jc w:val="center"/>
              <w:textAlignment w:val="bottom"/>
              <w:rPr>
                <w:rFonts w:ascii="Times New Roman" w:hAnsi="Times New Roman" w:eastAsia="宋体"/>
                <w:kern w:val="0"/>
                <w:sz w:val="18"/>
                <w:szCs w:val="18"/>
              </w:rPr>
            </w:pPr>
            <w:r>
              <w:rPr>
                <w:rFonts w:ascii="Times New Roman" w:hAnsi="Times New Roman" w:eastAsia="宋体"/>
                <w:kern w:val="24"/>
                <w:sz w:val="18"/>
                <w:szCs w:val="18"/>
              </w:rPr>
              <w:t>14,187</w:t>
            </w:r>
          </w:p>
        </w:tc>
        <w:tc>
          <w:tcPr>
            <w:tcW w:w="562" w:type="dxa"/>
            <w:tcMar>
              <w:top w:w="15" w:type="dxa"/>
              <w:left w:w="15" w:type="dxa"/>
              <w:bottom w:w="0" w:type="dxa"/>
              <w:right w:w="15" w:type="dxa"/>
            </w:tcMar>
            <w:vAlign w:val="center"/>
          </w:tcPr>
          <w:p>
            <w:pPr>
              <w:widowControl/>
              <w:spacing w:line="240" w:lineRule="auto"/>
              <w:jc w:val="center"/>
              <w:textAlignment w:val="bottom"/>
              <w:rPr>
                <w:rFonts w:ascii="Times New Roman" w:hAnsi="Times New Roman" w:eastAsia="宋体"/>
                <w:kern w:val="0"/>
                <w:sz w:val="18"/>
                <w:szCs w:val="18"/>
              </w:rPr>
            </w:pPr>
            <w:r>
              <w:rPr>
                <w:rFonts w:ascii="Times New Roman" w:hAnsi="Times New Roman" w:eastAsia="宋体"/>
                <w:kern w:val="24"/>
                <w:sz w:val="18"/>
                <w:szCs w:val="18"/>
              </w:rPr>
              <w:t>14,958</w:t>
            </w:r>
          </w:p>
        </w:tc>
        <w:tc>
          <w:tcPr>
            <w:tcW w:w="562" w:type="dxa"/>
            <w:tcMar>
              <w:top w:w="15" w:type="dxa"/>
              <w:left w:w="15" w:type="dxa"/>
              <w:bottom w:w="0" w:type="dxa"/>
              <w:right w:w="15" w:type="dxa"/>
            </w:tcMar>
            <w:vAlign w:val="center"/>
          </w:tcPr>
          <w:p>
            <w:pPr>
              <w:widowControl/>
              <w:spacing w:line="240" w:lineRule="auto"/>
              <w:jc w:val="center"/>
              <w:textAlignment w:val="bottom"/>
              <w:rPr>
                <w:rFonts w:ascii="Times New Roman" w:hAnsi="Times New Roman" w:eastAsia="宋体"/>
                <w:kern w:val="0"/>
                <w:sz w:val="18"/>
                <w:szCs w:val="18"/>
              </w:rPr>
            </w:pPr>
            <w:r>
              <w:rPr>
                <w:rFonts w:ascii="Times New Roman" w:hAnsi="Times New Roman" w:eastAsia="宋体"/>
                <w:kern w:val="24"/>
                <w:sz w:val="18"/>
                <w:szCs w:val="18"/>
              </w:rPr>
              <w:t>15,379</w:t>
            </w:r>
          </w:p>
        </w:tc>
        <w:tc>
          <w:tcPr>
            <w:tcW w:w="562" w:type="dxa"/>
            <w:tcMar>
              <w:top w:w="15" w:type="dxa"/>
              <w:left w:w="15" w:type="dxa"/>
              <w:bottom w:w="0" w:type="dxa"/>
              <w:right w:w="15" w:type="dxa"/>
            </w:tcMar>
            <w:vAlign w:val="center"/>
          </w:tcPr>
          <w:p>
            <w:pPr>
              <w:widowControl/>
              <w:spacing w:line="240" w:lineRule="auto"/>
              <w:jc w:val="center"/>
              <w:textAlignment w:val="bottom"/>
              <w:rPr>
                <w:rFonts w:ascii="Times New Roman" w:hAnsi="Times New Roman" w:eastAsia="宋体"/>
                <w:kern w:val="0"/>
                <w:sz w:val="18"/>
                <w:szCs w:val="18"/>
              </w:rPr>
            </w:pPr>
            <w:r>
              <w:rPr>
                <w:rFonts w:ascii="Times New Roman" w:hAnsi="Times New Roman" w:eastAsia="宋体"/>
                <w:kern w:val="24"/>
                <w:sz w:val="18"/>
                <w:szCs w:val="18"/>
              </w:rPr>
              <w:t>15,687</w:t>
            </w:r>
          </w:p>
        </w:tc>
        <w:tc>
          <w:tcPr>
            <w:tcW w:w="562" w:type="dxa"/>
            <w:tcMar>
              <w:top w:w="15" w:type="dxa"/>
              <w:left w:w="15" w:type="dxa"/>
              <w:bottom w:w="0" w:type="dxa"/>
              <w:right w:w="15" w:type="dxa"/>
            </w:tcMar>
            <w:vAlign w:val="center"/>
          </w:tcPr>
          <w:p>
            <w:pPr>
              <w:widowControl/>
              <w:spacing w:line="240" w:lineRule="auto"/>
              <w:jc w:val="center"/>
              <w:textAlignment w:val="bottom"/>
              <w:rPr>
                <w:rFonts w:ascii="Times New Roman" w:hAnsi="Times New Roman" w:eastAsia="宋体"/>
                <w:kern w:val="0"/>
                <w:sz w:val="18"/>
                <w:szCs w:val="18"/>
              </w:rPr>
            </w:pPr>
            <w:r>
              <w:rPr>
                <w:rFonts w:ascii="Times New Roman" w:hAnsi="Times New Roman" w:eastAsia="宋体"/>
                <w:kern w:val="24"/>
                <w:sz w:val="18"/>
                <w:szCs w:val="18"/>
              </w:rPr>
              <w:t>15,873</w:t>
            </w:r>
          </w:p>
        </w:tc>
        <w:tc>
          <w:tcPr>
            <w:tcW w:w="562" w:type="dxa"/>
            <w:tcMar>
              <w:top w:w="15" w:type="dxa"/>
              <w:left w:w="15" w:type="dxa"/>
              <w:bottom w:w="0" w:type="dxa"/>
              <w:right w:w="15" w:type="dxa"/>
            </w:tcMar>
            <w:vAlign w:val="center"/>
          </w:tcPr>
          <w:p>
            <w:pPr>
              <w:widowControl/>
              <w:spacing w:line="240" w:lineRule="auto"/>
              <w:jc w:val="center"/>
              <w:textAlignment w:val="bottom"/>
              <w:rPr>
                <w:rFonts w:ascii="Times New Roman" w:hAnsi="Times New Roman" w:eastAsia="宋体"/>
                <w:kern w:val="0"/>
                <w:sz w:val="18"/>
                <w:szCs w:val="18"/>
              </w:rPr>
            </w:pPr>
            <w:r>
              <w:rPr>
                <w:rFonts w:ascii="Times New Roman" w:hAnsi="Times New Roman" w:eastAsia="宋体"/>
                <w:kern w:val="24"/>
                <w:sz w:val="18"/>
                <w:szCs w:val="18"/>
              </w:rPr>
              <w:t>16,072</w:t>
            </w:r>
          </w:p>
        </w:tc>
        <w:tc>
          <w:tcPr>
            <w:tcW w:w="562" w:type="dxa"/>
            <w:tcMar>
              <w:top w:w="15" w:type="dxa"/>
              <w:left w:w="15" w:type="dxa"/>
              <w:bottom w:w="0" w:type="dxa"/>
              <w:right w:w="15" w:type="dxa"/>
            </w:tcMar>
            <w:vAlign w:val="center"/>
          </w:tcPr>
          <w:p>
            <w:pPr>
              <w:widowControl/>
              <w:spacing w:line="240" w:lineRule="auto"/>
              <w:jc w:val="center"/>
              <w:textAlignment w:val="bottom"/>
              <w:rPr>
                <w:rFonts w:ascii="Times New Roman" w:hAnsi="Times New Roman" w:eastAsia="宋体"/>
                <w:kern w:val="0"/>
                <w:sz w:val="18"/>
                <w:szCs w:val="18"/>
              </w:rPr>
            </w:pPr>
            <w:r>
              <w:rPr>
                <w:rFonts w:ascii="Times New Roman" w:hAnsi="Times New Roman" w:eastAsia="宋体"/>
                <w:kern w:val="24"/>
                <w:sz w:val="18"/>
                <w:szCs w:val="18"/>
              </w:rPr>
              <w:t>16,139</w:t>
            </w:r>
          </w:p>
        </w:tc>
        <w:tc>
          <w:tcPr>
            <w:tcW w:w="562" w:type="dxa"/>
            <w:tcMar>
              <w:top w:w="15" w:type="dxa"/>
              <w:left w:w="15" w:type="dxa"/>
              <w:bottom w:w="0" w:type="dxa"/>
              <w:right w:w="15" w:type="dxa"/>
            </w:tcMar>
            <w:vAlign w:val="center"/>
          </w:tcPr>
          <w:p>
            <w:pPr>
              <w:widowControl/>
              <w:spacing w:line="240" w:lineRule="auto"/>
              <w:jc w:val="center"/>
              <w:textAlignment w:val="bottom"/>
              <w:rPr>
                <w:rFonts w:ascii="Times New Roman" w:hAnsi="Times New Roman" w:eastAsia="宋体"/>
                <w:kern w:val="0"/>
                <w:sz w:val="18"/>
                <w:szCs w:val="18"/>
              </w:rPr>
            </w:pPr>
            <w:r>
              <w:rPr>
                <w:rFonts w:ascii="Times New Roman" w:hAnsi="Times New Roman" w:eastAsia="宋体"/>
                <w:kern w:val="24"/>
                <w:sz w:val="18"/>
                <w:szCs w:val="18"/>
              </w:rPr>
              <w:t>16,431</w:t>
            </w:r>
          </w:p>
        </w:tc>
        <w:tc>
          <w:tcPr>
            <w:tcW w:w="562" w:type="dxa"/>
            <w:tcMar>
              <w:top w:w="15" w:type="dxa"/>
              <w:left w:w="15" w:type="dxa"/>
              <w:bottom w:w="0" w:type="dxa"/>
              <w:right w:w="15" w:type="dxa"/>
            </w:tcMar>
            <w:vAlign w:val="center"/>
          </w:tcPr>
          <w:p>
            <w:pPr>
              <w:widowControl/>
              <w:spacing w:line="240" w:lineRule="auto"/>
              <w:jc w:val="center"/>
              <w:textAlignment w:val="bottom"/>
              <w:rPr>
                <w:rFonts w:ascii="Times New Roman" w:hAnsi="Times New Roman" w:eastAsia="宋体"/>
                <w:kern w:val="0"/>
                <w:sz w:val="18"/>
                <w:szCs w:val="18"/>
              </w:rPr>
            </w:pPr>
            <w:r>
              <w:rPr>
                <w:rFonts w:ascii="Times New Roman" w:hAnsi="Times New Roman" w:eastAsia="宋体"/>
                <w:kern w:val="24"/>
                <w:sz w:val="18"/>
                <w:szCs w:val="18"/>
              </w:rPr>
              <w:t>16,576</w:t>
            </w:r>
          </w:p>
        </w:tc>
        <w:tc>
          <w:tcPr>
            <w:tcW w:w="562" w:type="dxa"/>
            <w:tcMar>
              <w:top w:w="15" w:type="dxa"/>
              <w:left w:w="15" w:type="dxa"/>
              <w:bottom w:w="0" w:type="dxa"/>
              <w:right w:w="15" w:type="dxa"/>
            </w:tcMar>
            <w:vAlign w:val="center"/>
          </w:tcPr>
          <w:p>
            <w:pPr>
              <w:widowControl/>
              <w:spacing w:line="240" w:lineRule="auto"/>
              <w:jc w:val="center"/>
              <w:textAlignment w:val="bottom"/>
              <w:rPr>
                <w:rFonts w:ascii="Times New Roman" w:hAnsi="Times New Roman" w:eastAsia="宋体"/>
                <w:kern w:val="0"/>
                <w:sz w:val="18"/>
                <w:szCs w:val="18"/>
              </w:rPr>
            </w:pPr>
            <w:r>
              <w:rPr>
                <w:rFonts w:ascii="Times New Roman" w:hAnsi="Times New Roman" w:eastAsia="宋体"/>
                <w:kern w:val="24"/>
                <w:sz w:val="18"/>
                <w:szCs w:val="18"/>
              </w:rPr>
              <w:t>16,720</w:t>
            </w:r>
          </w:p>
        </w:tc>
        <w:tc>
          <w:tcPr>
            <w:tcW w:w="562" w:type="dxa"/>
            <w:tcMar>
              <w:top w:w="15" w:type="dxa"/>
              <w:left w:w="15" w:type="dxa"/>
              <w:bottom w:w="0" w:type="dxa"/>
              <w:right w:w="15" w:type="dxa"/>
            </w:tcMar>
            <w:vAlign w:val="center"/>
          </w:tcPr>
          <w:p>
            <w:pPr>
              <w:widowControl/>
              <w:spacing w:line="240" w:lineRule="auto"/>
              <w:jc w:val="center"/>
              <w:textAlignment w:val="bottom"/>
              <w:rPr>
                <w:rFonts w:ascii="Times New Roman" w:hAnsi="Times New Roman" w:eastAsia="宋体"/>
                <w:kern w:val="0"/>
                <w:sz w:val="18"/>
                <w:szCs w:val="18"/>
              </w:rPr>
            </w:pPr>
            <w:r>
              <w:rPr>
                <w:rFonts w:ascii="Times New Roman" w:hAnsi="Times New Roman" w:eastAsia="宋体"/>
                <w:kern w:val="24"/>
                <w:sz w:val="18"/>
                <w:szCs w:val="18"/>
              </w:rPr>
              <w:t>16,711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186" w:hRule="atLeast"/>
        </w:trPr>
        <w:tc>
          <w:tcPr>
            <w:tcW w:w="2232" w:type="dxa"/>
            <w:tcMar>
              <w:top w:w="15" w:type="dxa"/>
              <w:left w:w="15" w:type="dxa"/>
              <w:bottom w:w="0" w:type="dxa"/>
              <w:right w:w="15" w:type="dxa"/>
            </w:tcMar>
            <w:vAlign w:val="center"/>
          </w:tcPr>
          <w:p>
            <w:pPr>
              <w:widowControl/>
              <w:spacing w:line="240" w:lineRule="auto"/>
              <w:jc w:val="left"/>
              <w:textAlignment w:val="bottom"/>
              <w:rPr>
                <w:rFonts w:ascii="Times New Roman" w:hAnsi="Times New Roman" w:eastAsia="宋体"/>
                <w:kern w:val="24"/>
                <w:sz w:val="18"/>
                <w:szCs w:val="18"/>
              </w:rPr>
            </w:pPr>
            <w:r>
              <w:rPr>
                <w:rFonts w:ascii="Times New Roman" w:hAnsi="宋体" w:eastAsia="宋体"/>
                <w:kern w:val="24"/>
                <w:sz w:val="18"/>
                <w:szCs w:val="18"/>
              </w:rPr>
              <w:t>活动人力月均</w:t>
            </w:r>
          </w:p>
          <w:p>
            <w:pPr>
              <w:widowControl/>
              <w:spacing w:line="240" w:lineRule="auto"/>
              <w:jc w:val="left"/>
              <w:textAlignment w:val="bottom"/>
              <w:rPr>
                <w:rFonts w:ascii="Times New Roman" w:hAnsi="Times New Roman" w:eastAsia="宋体"/>
                <w:kern w:val="0"/>
                <w:sz w:val="18"/>
                <w:szCs w:val="18"/>
              </w:rPr>
            </w:pPr>
            <w:r>
              <w:rPr>
                <w:rFonts w:ascii="Times New Roman" w:hAnsi="宋体" w:eastAsia="宋体"/>
                <w:kern w:val="24"/>
                <w:sz w:val="18"/>
                <w:szCs w:val="18"/>
              </w:rPr>
              <w:t>产能增长率</w:t>
            </w:r>
          </w:p>
        </w:tc>
        <w:tc>
          <w:tcPr>
            <w:tcW w:w="562" w:type="dxa"/>
            <w:tcMar>
              <w:top w:w="15" w:type="dxa"/>
              <w:left w:w="15" w:type="dxa"/>
              <w:bottom w:w="0" w:type="dxa"/>
              <w:right w:w="15" w:type="dxa"/>
            </w:tcMar>
            <w:vAlign w:val="center"/>
          </w:tcPr>
          <w:p>
            <w:pPr>
              <w:widowControl/>
              <w:spacing w:line="240" w:lineRule="auto"/>
              <w:jc w:val="center"/>
              <w:rPr>
                <w:rFonts w:ascii="Times New Roman" w:hAnsi="Times New Roman" w:eastAsia="宋体"/>
                <w:kern w:val="0"/>
                <w:sz w:val="18"/>
                <w:szCs w:val="18"/>
              </w:rPr>
            </w:pPr>
          </w:p>
        </w:tc>
        <w:tc>
          <w:tcPr>
            <w:tcW w:w="562" w:type="dxa"/>
            <w:tcMar>
              <w:top w:w="15" w:type="dxa"/>
              <w:left w:w="15" w:type="dxa"/>
              <w:bottom w:w="0" w:type="dxa"/>
              <w:right w:w="15" w:type="dxa"/>
            </w:tcMar>
            <w:vAlign w:val="center"/>
          </w:tcPr>
          <w:p>
            <w:pPr>
              <w:widowControl/>
              <w:spacing w:line="240" w:lineRule="auto"/>
              <w:jc w:val="center"/>
              <w:textAlignment w:val="bottom"/>
              <w:rPr>
                <w:rFonts w:ascii="Times New Roman" w:hAnsi="Times New Roman" w:eastAsia="宋体"/>
                <w:kern w:val="0"/>
                <w:sz w:val="18"/>
                <w:szCs w:val="18"/>
              </w:rPr>
            </w:pPr>
            <w:r>
              <w:rPr>
                <w:rFonts w:ascii="Times New Roman" w:hAnsi="Times New Roman" w:eastAsia="宋体"/>
                <w:kern w:val="24"/>
                <w:sz w:val="18"/>
                <w:szCs w:val="18"/>
              </w:rPr>
              <w:t>5%</w:t>
            </w:r>
          </w:p>
        </w:tc>
        <w:tc>
          <w:tcPr>
            <w:tcW w:w="562" w:type="dxa"/>
            <w:tcMar>
              <w:top w:w="15" w:type="dxa"/>
              <w:left w:w="15" w:type="dxa"/>
              <w:bottom w:w="0" w:type="dxa"/>
              <w:right w:w="15" w:type="dxa"/>
            </w:tcMar>
            <w:vAlign w:val="center"/>
          </w:tcPr>
          <w:p>
            <w:pPr>
              <w:widowControl/>
              <w:spacing w:line="240" w:lineRule="auto"/>
              <w:jc w:val="center"/>
              <w:textAlignment w:val="bottom"/>
              <w:rPr>
                <w:rFonts w:ascii="Times New Roman" w:hAnsi="Times New Roman" w:eastAsia="宋体"/>
                <w:kern w:val="0"/>
                <w:sz w:val="18"/>
                <w:szCs w:val="18"/>
              </w:rPr>
            </w:pPr>
            <w:r>
              <w:rPr>
                <w:rFonts w:ascii="Times New Roman" w:hAnsi="Times New Roman" w:eastAsia="宋体"/>
                <w:kern w:val="24"/>
                <w:sz w:val="18"/>
                <w:szCs w:val="18"/>
              </w:rPr>
              <w:t>5%</w:t>
            </w:r>
          </w:p>
        </w:tc>
        <w:tc>
          <w:tcPr>
            <w:tcW w:w="562" w:type="dxa"/>
            <w:tcMar>
              <w:top w:w="15" w:type="dxa"/>
              <w:left w:w="15" w:type="dxa"/>
              <w:bottom w:w="0" w:type="dxa"/>
              <w:right w:w="15" w:type="dxa"/>
            </w:tcMar>
            <w:vAlign w:val="center"/>
          </w:tcPr>
          <w:p>
            <w:pPr>
              <w:widowControl/>
              <w:spacing w:line="240" w:lineRule="auto"/>
              <w:jc w:val="center"/>
              <w:textAlignment w:val="bottom"/>
              <w:rPr>
                <w:rFonts w:ascii="Times New Roman" w:hAnsi="Times New Roman" w:eastAsia="宋体"/>
                <w:kern w:val="0"/>
                <w:sz w:val="18"/>
                <w:szCs w:val="18"/>
              </w:rPr>
            </w:pPr>
            <w:r>
              <w:rPr>
                <w:rFonts w:ascii="Times New Roman" w:hAnsi="Times New Roman" w:eastAsia="宋体"/>
                <w:kern w:val="24"/>
                <w:sz w:val="18"/>
                <w:szCs w:val="18"/>
              </w:rPr>
              <w:t>3%</w:t>
            </w:r>
          </w:p>
        </w:tc>
        <w:tc>
          <w:tcPr>
            <w:tcW w:w="562" w:type="dxa"/>
            <w:tcMar>
              <w:top w:w="15" w:type="dxa"/>
              <w:left w:w="15" w:type="dxa"/>
              <w:bottom w:w="0" w:type="dxa"/>
              <w:right w:w="15" w:type="dxa"/>
            </w:tcMar>
            <w:vAlign w:val="center"/>
          </w:tcPr>
          <w:p>
            <w:pPr>
              <w:widowControl/>
              <w:spacing w:line="240" w:lineRule="auto"/>
              <w:jc w:val="center"/>
              <w:textAlignment w:val="bottom"/>
              <w:rPr>
                <w:rFonts w:ascii="Times New Roman" w:hAnsi="Times New Roman" w:eastAsia="宋体"/>
                <w:kern w:val="0"/>
                <w:sz w:val="18"/>
                <w:szCs w:val="18"/>
              </w:rPr>
            </w:pPr>
            <w:r>
              <w:rPr>
                <w:rFonts w:ascii="Times New Roman" w:hAnsi="Times New Roman" w:eastAsia="宋体"/>
                <w:kern w:val="24"/>
                <w:sz w:val="18"/>
                <w:szCs w:val="18"/>
              </w:rPr>
              <w:t>2%</w:t>
            </w:r>
          </w:p>
        </w:tc>
        <w:tc>
          <w:tcPr>
            <w:tcW w:w="562" w:type="dxa"/>
            <w:tcMar>
              <w:top w:w="15" w:type="dxa"/>
              <w:left w:w="15" w:type="dxa"/>
              <w:bottom w:w="0" w:type="dxa"/>
              <w:right w:w="15" w:type="dxa"/>
            </w:tcMar>
            <w:vAlign w:val="center"/>
          </w:tcPr>
          <w:p>
            <w:pPr>
              <w:widowControl/>
              <w:spacing w:line="240" w:lineRule="auto"/>
              <w:jc w:val="center"/>
              <w:textAlignment w:val="bottom"/>
              <w:rPr>
                <w:rFonts w:ascii="Times New Roman" w:hAnsi="Times New Roman" w:eastAsia="宋体"/>
                <w:kern w:val="0"/>
                <w:sz w:val="18"/>
                <w:szCs w:val="18"/>
              </w:rPr>
            </w:pPr>
            <w:r>
              <w:rPr>
                <w:rFonts w:ascii="Times New Roman" w:hAnsi="Times New Roman" w:eastAsia="宋体"/>
                <w:kern w:val="24"/>
                <w:sz w:val="18"/>
                <w:szCs w:val="18"/>
              </w:rPr>
              <w:t>1%</w:t>
            </w:r>
          </w:p>
        </w:tc>
        <w:tc>
          <w:tcPr>
            <w:tcW w:w="562" w:type="dxa"/>
            <w:tcMar>
              <w:top w:w="15" w:type="dxa"/>
              <w:left w:w="15" w:type="dxa"/>
              <w:bottom w:w="0" w:type="dxa"/>
              <w:right w:w="15" w:type="dxa"/>
            </w:tcMar>
            <w:vAlign w:val="center"/>
          </w:tcPr>
          <w:p>
            <w:pPr>
              <w:widowControl/>
              <w:spacing w:line="240" w:lineRule="auto"/>
              <w:jc w:val="center"/>
              <w:textAlignment w:val="bottom"/>
              <w:rPr>
                <w:rFonts w:ascii="Times New Roman" w:hAnsi="Times New Roman" w:eastAsia="宋体"/>
                <w:kern w:val="0"/>
                <w:sz w:val="18"/>
                <w:szCs w:val="18"/>
              </w:rPr>
            </w:pPr>
            <w:r>
              <w:rPr>
                <w:rFonts w:ascii="Times New Roman" w:hAnsi="Times New Roman" w:eastAsia="宋体"/>
                <w:kern w:val="24"/>
                <w:sz w:val="18"/>
                <w:szCs w:val="18"/>
              </w:rPr>
              <w:t>1%</w:t>
            </w:r>
          </w:p>
        </w:tc>
        <w:tc>
          <w:tcPr>
            <w:tcW w:w="562" w:type="dxa"/>
            <w:tcMar>
              <w:top w:w="15" w:type="dxa"/>
              <w:left w:w="15" w:type="dxa"/>
              <w:bottom w:w="0" w:type="dxa"/>
              <w:right w:w="15" w:type="dxa"/>
            </w:tcMar>
            <w:vAlign w:val="center"/>
          </w:tcPr>
          <w:p>
            <w:pPr>
              <w:widowControl/>
              <w:spacing w:line="240" w:lineRule="auto"/>
              <w:jc w:val="center"/>
              <w:textAlignment w:val="bottom"/>
              <w:rPr>
                <w:rFonts w:ascii="Times New Roman" w:hAnsi="Times New Roman" w:eastAsia="宋体"/>
                <w:kern w:val="0"/>
                <w:sz w:val="18"/>
                <w:szCs w:val="18"/>
              </w:rPr>
            </w:pPr>
            <w:r>
              <w:rPr>
                <w:rFonts w:ascii="Times New Roman" w:hAnsi="Times New Roman" w:eastAsia="宋体"/>
                <w:kern w:val="24"/>
                <w:sz w:val="18"/>
                <w:szCs w:val="18"/>
              </w:rPr>
              <w:t>0%</w:t>
            </w:r>
          </w:p>
        </w:tc>
        <w:tc>
          <w:tcPr>
            <w:tcW w:w="562" w:type="dxa"/>
            <w:tcMar>
              <w:top w:w="15" w:type="dxa"/>
              <w:left w:w="15" w:type="dxa"/>
              <w:bottom w:w="0" w:type="dxa"/>
              <w:right w:w="15" w:type="dxa"/>
            </w:tcMar>
            <w:vAlign w:val="center"/>
          </w:tcPr>
          <w:p>
            <w:pPr>
              <w:widowControl/>
              <w:spacing w:line="240" w:lineRule="auto"/>
              <w:jc w:val="center"/>
              <w:textAlignment w:val="bottom"/>
              <w:rPr>
                <w:rFonts w:ascii="Times New Roman" w:hAnsi="Times New Roman" w:eastAsia="宋体"/>
                <w:kern w:val="0"/>
                <w:sz w:val="18"/>
                <w:szCs w:val="18"/>
              </w:rPr>
            </w:pPr>
            <w:r>
              <w:rPr>
                <w:rFonts w:ascii="Times New Roman" w:hAnsi="Times New Roman" w:eastAsia="宋体"/>
                <w:kern w:val="24"/>
                <w:sz w:val="18"/>
                <w:szCs w:val="18"/>
              </w:rPr>
              <w:t>2%</w:t>
            </w:r>
          </w:p>
        </w:tc>
        <w:tc>
          <w:tcPr>
            <w:tcW w:w="562" w:type="dxa"/>
            <w:tcMar>
              <w:top w:w="15" w:type="dxa"/>
              <w:left w:w="15" w:type="dxa"/>
              <w:bottom w:w="0" w:type="dxa"/>
              <w:right w:w="15" w:type="dxa"/>
            </w:tcMar>
            <w:vAlign w:val="center"/>
          </w:tcPr>
          <w:p>
            <w:pPr>
              <w:widowControl/>
              <w:spacing w:line="240" w:lineRule="auto"/>
              <w:jc w:val="center"/>
              <w:textAlignment w:val="bottom"/>
              <w:rPr>
                <w:rFonts w:ascii="Times New Roman" w:hAnsi="Times New Roman" w:eastAsia="宋体"/>
                <w:kern w:val="0"/>
                <w:sz w:val="18"/>
                <w:szCs w:val="18"/>
              </w:rPr>
            </w:pPr>
            <w:r>
              <w:rPr>
                <w:rFonts w:ascii="Times New Roman" w:hAnsi="Times New Roman" w:eastAsia="宋体"/>
                <w:kern w:val="24"/>
                <w:sz w:val="18"/>
                <w:szCs w:val="18"/>
              </w:rPr>
              <w:t>1%</w:t>
            </w:r>
          </w:p>
        </w:tc>
        <w:tc>
          <w:tcPr>
            <w:tcW w:w="562" w:type="dxa"/>
            <w:tcMar>
              <w:top w:w="15" w:type="dxa"/>
              <w:left w:w="15" w:type="dxa"/>
              <w:bottom w:w="0" w:type="dxa"/>
              <w:right w:w="15" w:type="dxa"/>
            </w:tcMar>
            <w:vAlign w:val="center"/>
          </w:tcPr>
          <w:p>
            <w:pPr>
              <w:widowControl/>
              <w:spacing w:line="240" w:lineRule="auto"/>
              <w:jc w:val="center"/>
              <w:textAlignment w:val="bottom"/>
              <w:rPr>
                <w:rFonts w:ascii="Times New Roman" w:hAnsi="Times New Roman" w:eastAsia="宋体"/>
                <w:kern w:val="0"/>
                <w:sz w:val="18"/>
                <w:szCs w:val="18"/>
              </w:rPr>
            </w:pPr>
            <w:r>
              <w:rPr>
                <w:rFonts w:ascii="Times New Roman" w:hAnsi="Times New Roman" w:eastAsia="宋体"/>
                <w:kern w:val="24"/>
                <w:sz w:val="18"/>
                <w:szCs w:val="18"/>
              </w:rPr>
              <w:t>1%</w:t>
            </w:r>
          </w:p>
        </w:tc>
        <w:tc>
          <w:tcPr>
            <w:tcW w:w="562" w:type="dxa"/>
            <w:tcMar>
              <w:top w:w="15" w:type="dxa"/>
              <w:left w:w="15" w:type="dxa"/>
              <w:bottom w:w="0" w:type="dxa"/>
              <w:right w:w="15" w:type="dxa"/>
            </w:tcMar>
            <w:vAlign w:val="center"/>
          </w:tcPr>
          <w:p>
            <w:pPr>
              <w:widowControl/>
              <w:spacing w:line="240" w:lineRule="auto"/>
              <w:jc w:val="center"/>
              <w:textAlignment w:val="bottom"/>
              <w:rPr>
                <w:rFonts w:ascii="Times New Roman" w:hAnsi="Times New Roman" w:eastAsia="宋体"/>
                <w:kern w:val="0"/>
                <w:sz w:val="18"/>
                <w:szCs w:val="18"/>
              </w:rPr>
            </w:pPr>
            <w:r>
              <w:rPr>
                <w:rFonts w:ascii="Times New Roman" w:hAnsi="Times New Roman" w:eastAsia="宋体"/>
                <w:kern w:val="24"/>
                <w:sz w:val="18"/>
                <w:szCs w:val="18"/>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186" w:hRule="atLeast"/>
        </w:trPr>
        <w:tc>
          <w:tcPr>
            <w:tcW w:w="2232" w:type="dxa"/>
            <w:tcBorders>
              <w:bottom w:val="single" w:color="auto" w:sz="4" w:space="0"/>
            </w:tcBorders>
            <w:tcMar>
              <w:top w:w="15" w:type="dxa"/>
              <w:left w:w="15" w:type="dxa"/>
              <w:bottom w:w="0" w:type="dxa"/>
              <w:right w:w="15" w:type="dxa"/>
            </w:tcMar>
            <w:vAlign w:val="center"/>
          </w:tcPr>
          <w:p>
            <w:pPr>
              <w:widowControl/>
              <w:spacing w:line="240" w:lineRule="auto"/>
              <w:jc w:val="left"/>
              <w:textAlignment w:val="bottom"/>
              <w:rPr>
                <w:rFonts w:ascii="Times New Roman" w:hAnsi="Times New Roman" w:eastAsia="宋体"/>
                <w:kern w:val="0"/>
                <w:sz w:val="18"/>
                <w:szCs w:val="18"/>
              </w:rPr>
            </w:pPr>
            <w:r>
              <w:rPr>
                <w:rFonts w:ascii="Times New Roman" w:hAnsi="Times New Roman" w:eastAsia="宋体"/>
                <w:kern w:val="24"/>
                <w:sz w:val="18"/>
                <w:szCs w:val="18"/>
              </w:rPr>
              <w:t>ANP</w:t>
            </w:r>
            <w:r>
              <w:rPr>
                <w:rFonts w:ascii="Times New Roman" w:hAnsi="宋体" w:eastAsia="宋体"/>
                <w:kern w:val="24"/>
                <w:sz w:val="18"/>
                <w:szCs w:val="18"/>
              </w:rPr>
              <w:t>（百万元）</w:t>
            </w:r>
          </w:p>
        </w:tc>
        <w:tc>
          <w:tcPr>
            <w:tcW w:w="562" w:type="dxa"/>
            <w:tcBorders>
              <w:bottom w:val="single" w:color="auto" w:sz="4" w:space="0"/>
            </w:tcBorders>
            <w:tcMar>
              <w:top w:w="15" w:type="dxa"/>
              <w:left w:w="15" w:type="dxa"/>
              <w:bottom w:w="0" w:type="dxa"/>
              <w:right w:w="15" w:type="dxa"/>
            </w:tcMar>
            <w:vAlign w:val="center"/>
          </w:tcPr>
          <w:p>
            <w:pPr>
              <w:widowControl/>
              <w:spacing w:line="240" w:lineRule="auto"/>
              <w:jc w:val="center"/>
              <w:textAlignment w:val="bottom"/>
              <w:rPr>
                <w:rFonts w:ascii="Times New Roman" w:hAnsi="Times New Roman" w:eastAsia="宋体"/>
                <w:kern w:val="0"/>
                <w:sz w:val="18"/>
                <w:szCs w:val="18"/>
              </w:rPr>
            </w:pPr>
            <w:r>
              <w:rPr>
                <w:rFonts w:ascii="Times New Roman" w:hAnsi="Times New Roman" w:eastAsia="宋体"/>
                <w:kern w:val="24"/>
                <w:sz w:val="18"/>
                <w:szCs w:val="18"/>
              </w:rPr>
              <w:t>126</w:t>
            </w:r>
          </w:p>
        </w:tc>
        <w:tc>
          <w:tcPr>
            <w:tcW w:w="562" w:type="dxa"/>
            <w:tcBorders>
              <w:bottom w:val="single" w:color="auto" w:sz="4" w:space="0"/>
            </w:tcBorders>
            <w:tcMar>
              <w:top w:w="15" w:type="dxa"/>
              <w:left w:w="15" w:type="dxa"/>
              <w:bottom w:w="0" w:type="dxa"/>
              <w:right w:w="15" w:type="dxa"/>
            </w:tcMar>
            <w:vAlign w:val="center"/>
          </w:tcPr>
          <w:p>
            <w:pPr>
              <w:widowControl/>
              <w:spacing w:line="240" w:lineRule="auto"/>
              <w:jc w:val="center"/>
              <w:textAlignment w:val="bottom"/>
              <w:rPr>
                <w:rFonts w:ascii="Times New Roman" w:hAnsi="Times New Roman" w:eastAsia="宋体"/>
                <w:kern w:val="0"/>
                <w:sz w:val="18"/>
                <w:szCs w:val="18"/>
              </w:rPr>
            </w:pPr>
            <w:r>
              <w:rPr>
                <w:rFonts w:ascii="Times New Roman" w:hAnsi="Times New Roman" w:eastAsia="宋体"/>
                <w:kern w:val="24"/>
                <w:sz w:val="18"/>
                <w:szCs w:val="18"/>
              </w:rPr>
              <w:t>143</w:t>
            </w:r>
          </w:p>
        </w:tc>
        <w:tc>
          <w:tcPr>
            <w:tcW w:w="562" w:type="dxa"/>
            <w:tcBorders>
              <w:bottom w:val="single" w:color="auto" w:sz="4" w:space="0"/>
            </w:tcBorders>
            <w:tcMar>
              <w:top w:w="15" w:type="dxa"/>
              <w:left w:w="15" w:type="dxa"/>
              <w:bottom w:w="0" w:type="dxa"/>
              <w:right w:w="15" w:type="dxa"/>
            </w:tcMar>
            <w:vAlign w:val="center"/>
          </w:tcPr>
          <w:p>
            <w:pPr>
              <w:widowControl/>
              <w:spacing w:line="240" w:lineRule="auto"/>
              <w:jc w:val="center"/>
              <w:textAlignment w:val="bottom"/>
              <w:rPr>
                <w:rFonts w:ascii="Times New Roman" w:hAnsi="Times New Roman" w:eastAsia="宋体"/>
                <w:kern w:val="0"/>
                <w:sz w:val="18"/>
                <w:szCs w:val="18"/>
              </w:rPr>
            </w:pPr>
            <w:r>
              <w:rPr>
                <w:rFonts w:ascii="Times New Roman" w:hAnsi="Times New Roman" w:eastAsia="宋体"/>
                <w:kern w:val="24"/>
                <w:sz w:val="18"/>
                <w:szCs w:val="18"/>
              </w:rPr>
              <w:t>166</w:t>
            </w:r>
          </w:p>
        </w:tc>
        <w:tc>
          <w:tcPr>
            <w:tcW w:w="562" w:type="dxa"/>
            <w:tcBorders>
              <w:bottom w:val="single" w:color="auto" w:sz="4" w:space="0"/>
            </w:tcBorders>
            <w:tcMar>
              <w:top w:w="15" w:type="dxa"/>
              <w:left w:w="15" w:type="dxa"/>
              <w:bottom w:w="0" w:type="dxa"/>
              <w:right w:w="15" w:type="dxa"/>
            </w:tcMar>
            <w:vAlign w:val="center"/>
          </w:tcPr>
          <w:p>
            <w:pPr>
              <w:widowControl/>
              <w:spacing w:line="240" w:lineRule="auto"/>
              <w:jc w:val="center"/>
              <w:textAlignment w:val="bottom"/>
              <w:rPr>
                <w:rFonts w:ascii="Times New Roman" w:hAnsi="Times New Roman" w:eastAsia="宋体"/>
                <w:kern w:val="0"/>
                <w:sz w:val="18"/>
                <w:szCs w:val="18"/>
              </w:rPr>
            </w:pPr>
            <w:r>
              <w:rPr>
                <w:rFonts w:ascii="Times New Roman" w:hAnsi="Times New Roman" w:eastAsia="宋体"/>
                <w:kern w:val="24"/>
                <w:sz w:val="18"/>
                <w:szCs w:val="18"/>
              </w:rPr>
              <w:t>189</w:t>
            </w:r>
          </w:p>
        </w:tc>
        <w:tc>
          <w:tcPr>
            <w:tcW w:w="562" w:type="dxa"/>
            <w:tcBorders>
              <w:bottom w:val="single" w:color="auto" w:sz="4" w:space="0"/>
            </w:tcBorders>
            <w:tcMar>
              <w:top w:w="15" w:type="dxa"/>
              <w:left w:w="15" w:type="dxa"/>
              <w:bottom w:w="0" w:type="dxa"/>
              <w:right w:w="15" w:type="dxa"/>
            </w:tcMar>
            <w:vAlign w:val="center"/>
          </w:tcPr>
          <w:p>
            <w:pPr>
              <w:widowControl/>
              <w:spacing w:line="240" w:lineRule="auto"/>
              <w:jc w:val="center"/>
              <w:textAlignment w:val="bottom"/>
              <w:rPr>
                <w:rFonts w:ascii="Times New Roman" w:hAnsi="Times New Roman" w:eastAsia="宋体"/>
                <w:kern w:val="0"/>
                <w:sz w:val="18"/>
                <w:szCs w:val="18"/>
              </w:rPr>
            </w:pPr>
            <w:r>
              <w:rPr>
                <w:rFonts w:ascii="Times New Roman" w:hAnsi="Times New Roman" w:eastAsia="宋体"/>
                <w:kern w:val="24"/>
                <w:sz w:val="18"/>
                <w:szCs w:val="18"/>
              </w:rPr>
              <w:t>214</w:t>
            </w:r>
          </w:p>
        </w:tc>
        <w:tc>
          <w:tcPr>
            <w:tcW w:w="562" w:type="dxa"/>
            <w:tcBorders>
              <w:bottom w:val="single" w:color="auto" w:sz="4" w:space="0"/>
            </w:tcBorders>
            <w:tcMar>
              <w:top w:w="15" w:type="dxa"/>
              <w:left w:w="15" w:type="dxa"/>
              <w:bottom w:w="0" w:type="dxa"/>
              <w:right w:w="15" w:type="dxa"/>
            </w:tcMar>
            <w:vAlign w:val="center"/>
          </w:tcPr>
          <w:p>
            <w:pPr>
              <w:widowControl/>
              <w:spacing w:line="240" w:lineRule="auto"/>
              <w:jc w:val="center"/>
              <w:textAlignment w:val="bottom"/>
              <w:rPr>
                <w:rFonts w:ascii="Times New Roman" w:hAnsi="Times New Roman" w:eastAsia="宋体"/>
                <w:kern w:val="0"/>
                <w:sz w:val="18"/>
                <w:szCs w:val="18"/>
              </w:rPr>
            </w:pPr>
            <w:r>
              <w:rPr>
                <w:rFonts w:ascii="Times New Roman" w:hAnsi="Times New Roman" w:eastAsia="宋体"/>
                <w:kern w:val="24"/>
                <w:sz w:val="18"/>
                <w:szCs w:val="18"/>
              </w:rPr>
              <w:t>239</w:t>
            </w:r>
          </w:p>
        </w:tc>
        <w:tc>
          <w:tcPr>
            <w:tcW w:w="562" w:type="dxa"/>
            <w:tcBorders>
              <w:bottom w:val="single" w:color="auto" w:sz="4" w:space="0"/>
            </w:tcBorders>
            <w:tcMar>
              <w:top w:w="15" w:type="dxa"/>
              <w:left w:w="15" w:type="dxa"/>
              <w:bottom w:w="0" w:type="dxa"/>
              <w:right w:w="15" w:type="dxa"/>
            </w:tcMar>
            <w:vAlign w:val="center"/>
          </w:tcPr>
          <w:p>
            <w:pPr>
              <w:widowControl/>
              <w:spacing w:line="240" w:lineRule="auto"/>
              <w:jc w:val="center"/>
              <w:textAlignment w:val="bottom"/>
              <w:rPr>
                <w:rFonts w:ascii="Times New Roman" w:hAnsi="Times New Roman" w:eastAsia="宋体"/>
                <w:kern w:val="0"/>
                <w:sz w:val="18"/>
                <w:szCs w:val="18"/>
              </w:rPr>
            </w:pPr>
            <w:r>
              <w:rPr>
                <w:rFonts w:ascii="Times New Roman" w:hAnsi="Times New Roman" w:eastAsia="宋体"/>
                <w:kern w:val="24"/>
                <w:sz w:val="18"/>
                <w:szCs w:val="18"/>
              </w:rPr>
              <w:t>266</w:t>
            </w:r>
          </w:p>
        </w:tc>
        <w:tc>
          <w:tcPr>
            <w:tcW w:w="562" w:type="dxa"/>
            <w:tcBorders>
              <w:bottom w:val="single" w:color="auto" w:sz="4" w:space="0"/>
            </w:tcBorders>
            <w:tcMar>
              <w:top w:w="15" w:type="dxa"/>
              <w:left w:w="15" w:type="dxa"/>
              <w:bottom w:w="0" w:type="dxa"/>
              <w:right w:w="15" w:type="dxa"/>
            </w:tcMar>
            <w:vAlign w:val="center"/>
          </w:tcPr>
          <w:p>
            <w:pPr>
              <w:widowControl/>
              <w:spacing w:line="240" w:lineRule="auto"/>
              <w:jc w:val="center"/>
              <w:textAlignment w:val="bottom"/>
              <w:rPr>
                <w:rFonts w:ascii="Times New Roman" w:hAnsi="Times New Roman" w:eastAsia="宋体"/>
                <w:kern w:val="0"/>
                <w:sz w:val="18"/>
                <w:szCs w:val="18"/>
              </w:rPr>
            </w:pPr>
            <w:r>
              <w:rPr>
                <w:rFonts w:ascii="Times New Roman" w:hAnsi="Times New Roman" w:eastAsia="宋体"/>
                <w:kern w:val="24"/>
                <w:sz w:val="18"/>
                <w:szCs w:val="18"/>
              </w:rPr>
              <w:t>292</w:t>
            </w:r>
          </w:p>
        </w:tc>
        <w:tc>
          <w:tcPr>
            <w:tcW w:w="562" w:type="dxa"/>
            <w:tcBorders>
              <w:bottom w:val="single" w:color="auto" w:sz="4" w:space="0"/>
            </w:tcBorders>
            <w:tcMar>
              <w:top w:w="15" w:type="dxa"/>
              <w:left w:w="15" w:type="dxa"/>
              <w:bottom w:w="0" w:type="dxa"/>
              <w:right w:w="15" w:type="dxa"/>
            </w:tcMar>
            <w:vAlign w:val="center"/>
          </w:tcPr>
          <w:p>
            <w:pPr>
              <w:widowControl/>
              <w:spacing w:line="240" w:lineRule="auto"/>
              <w:jc w:val="center"/>
              <w:textAlignment w:val="bottom"/>
              <w:rPr>
                <w:rFonts w:ascii="Times New Roman" w:hAnsi="Times New Roman" w:eastAsia="宋体"/>
                <w:kern w:val="0"/>
                <w:sz w:val="18"/>
                <w:szCs w:val="18"/>
              </w:rPr>
            </w:pPr>
            <w:r>
              <w:rPr>
                <w:rFonts w:ascii="Times New Roman" w:hAnsi="Times New Roman" w:eastAsia="宋体"/>
                <w:kern w:val="24"/>
                <w:sz w:val="18"/>
                <w:szCs w:val="18"/>
              </w:rPr>
              <w:t>319</w:t>
            </w:r>
          </w:p>
        </w:tc>
        <w:tc>
          <w:tcPr>
            <w:tcW w:w="562" w:type="dxa"/>
            <w:tcBorders>
              <w:bottom w:val="single" w:color="auto" w:sz="4" w:space="0"/>
            </w:tcBorders>
            <w:tcMar>
              <w:top w:w="15" w:type="dxa"/>
              <w:left w:w="15" w:type="dxa"/>
              <w:bottom w:w="0" w:type="dxa"/>
              <w:right w:w="15" w:type="dxa"/>
            </w:tcMar>
            <w:vAlign w:val="center"/>
          </w:tcPr>
          <w:p>
            <w:pPr>
              <w:widowControl/>
              <w:spacing w:line="240" w:lineRule="auto"/>
              <w:jc w:val="center"/>
              <w:textAlignment w:val="bottom"/>
              <w:rPr>
                <w:rFonts w:ascii="Times New Roman" w:hAnsi="Times New Roman" w:eastAsia="宋体"/>
                <w:kern w:val="0"/>
                <w:sz w:val="18"/>
                <w:szCs w:val="18"/>
              </w:rPr>
            </w:pPr>
            <w:r>
              <w:rPr>
                <w:rFonts w:ascii="Times New Roman" w:hAnsi="Times New Roman" w:eastAsia="宋体"/>
                <w:kern w:val="24"/>
                <w:sz w:val="18"/>
                <w:szCs w:val="18"/>
              </w:rPr>
              <w:t>344</w:t>
            </w:r>
          </w:p>
        </w:tc>
        <w:tc>
          <w:tcPr>
            <w:tcW w:w="562" w:type="dxa"/>
            <w:tcBorders>
              <w:bottom w:val="single" w:color="auto" w:sz="4" w:space="0"/>
            </w:tcBorders>
            <w:tcMar>
              <w:top w:w="15" w:type="dxa"/>
              <w:left w:w="15" w:type="dxa"/>
              <w:bottom w:w="0" w:type="dxa"/>
              <w:right w:w="15" w:type="dxa"/>
            </w:tcMar>
            <w:vAlign w:val="center"/>
          </w:tcPr>
          <w:p>
            <w:pPr>
              <w:widowControl/>
              <w:spacing w:line="240" w:lineRule="auto"/>
              <w:jc w:val="center"/>
              <w:textAlignment w:val="bottom"/>
              <w:rPr>
                <w:rFonts w:ascii="Times New Roman" w:hAnsi="Times New Roman" w:eastAsia="宋体"/>
                <w:kern w:val="0"/>
                <w:sz w:val="18"/>
                <w:szCs w:val="18"/>
              </w:rPr>
            </w:pPr>
            <w:r>
              <w:rPr>
                <w:rFonts w:ascii="Times New Roman" w:hAnsi="Times New Roman" w:eastAsia="宋体"/>
                <w:kern w:val="24"/>
                <w:sz w:val="18"/>
                <w:szCs w:val="18"/>
              </w:rPr>
              <w:t>368</w:t>
            </w:r>
          </w:p>
        </w:tc>
        <w:tc>
          <w:tcPr>
            <w:tcW w:w="562" w:type="dxa"/>
            <w:tcBorders>
              <w:bottom w:val="single" w:color="auto" w:sz="4" w:space="0"/>
            </w:tcBorders>
            <w:tcMar>
              <w:top w:w="15" w:type="dxa"/>
              <w:left w:w="15" w:type="dxa"/>
              <w:bottom w:w="0" w:type="dxa"/>
              <w:right w:w="15" w:type="dxa"/>
            </w:tcMar>
            <w:vAlign w:val="center"/>
          </w:tcPr>
          <w:p>
            <w:pPr>
              <w:widowControl/>
              <w:spacing w:line="240" w:lineRule="auto"/>
              <w:jc w:val="center"/>
              <w:textAlignment w:val="bottom"/>
              <w:rPr>
                <w:rFonts w:ascii="Times New Roman" w:hAnsi="Times New Roman" w:eastAsia="宋体"/>
                <w:kern w:val="0"/>
                <w:sz w:val="18"/>
                <w:szCs w:val="18"/>
              </w:rPr>
            </w:pPr>
            <w:r>
              <w:rPr>
                <w:rFonts w:ascii="Times New Roman" w:hAnsi="Times New Roman" w:eastAsia="宋体"/>
                <w:kern w:val="24"/>
                <w:sz w:val="18"/>
                <w:szCs w:val="18"/>
              </w:rPr>
              <w:t>390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186" w:hRule="atLeast"/>
        </w:trPr>
        <w:tc>
          <w:tcPr>
            <w:tcW w:w="2232" w:type="dxa"/>
            <w:tcBorders>
              <w:top w:val="single" w:color="auto" w:sz="4" w:space="0"/>
              <w:bottom w:val="nil"/>
            </w:tcBorders>
            <w:tcMar>
              <w:top w:w="15" w:type="dxa"/>
              <w:left w:w="15" w:type="dxa"/>
              <w:bottom w:w="0" w:type="dxa"/>
              <w:right w:w="15" w:type="dxa"/>
            </w:tcMar>
            <w:vAlign w:val="center"/>
          </w:tcPr>
          <w:p>
            <w:pPr>
              <w:widowControl/>
              <w:spacing w:line="240" w:lineRule="auto"/>
              <w:jc w:val="center"/>
              <w:textAlignment w:val="bottom"/>
              <w:rPr>
                <w:rFonts w:ascii="Times New Roman" w:hAnsi="Times New Roman" w:eastAsia="宋体"/>
                <w:kern w:val="0"/>
                <w:sz w:val="18"/>
                <w:szCs w:val="18"/>
              </w:rPr>
            </w:pPr>
            <w:r>
              <w:rPr>
                <w:rFonts w:ascii="Times New Roman" w:hAnsi="宋体" w:eastAsia="宋体"/>
                <w:b/>
                <w:bCs/>
                <w:kern w:val="24"/>
                <w:sz w:val="18"/>
                <w:szCs w:val="18"/>
              </w:rPr>
              <w:t>银保渠道</w:t>
            </w:r>
          </w:p>
        </w:tc>
        <w:tc>
          <w:tcPr>
            <w:tcW w:w="562" w:type="dxa"/>
            <w:tcBorders>
              <w:top w:val="single" w:color="auto" w:sz="4" w:space="0"/>
              <w:bottom w:val="nil"/>
            </w:tcBorders>
            <w:tcMar>
              <w:top w:w="15" w:type="dxa"/>
              <w:left w:w="15" w:type="dxa"/>
              <w:bottom w:w="0" w:type="dxa"/>
              <w:right w:w="15" w:type="dxa"/>
            </w:tcMar>
            <w:vAlign w:val="center"/>
          </w:tcPr>
          <w:p>
            <w:pPr>
              <w:widowControl/>
              <w:spacing w:line="240" w:lineRule="auto"/>
              <w:jc w:val="center"/>
              <w:rPr>
                <w:rFonts w:ascii="Times New Roman" w:hAnsi="Times New Roman" w:eastAsia="宋体"/>
                <w:kern w:val="0"/>
                <w:sz w:val="18"/>
                <w:szCs w:val="18"/>
              </w:rPr>
            </w:pPr>
          </w:p>
        </w:tc>
        <w:tc>
          <w:tcPr>
            <w:tcW w:w="562" w:type="dxa"/>
            <w:tcBorders>
              <w:top w:val="single" w:color="auto" w:sz="4" w:space="0"/>
              <w:bottom w:val="nil"/>
            </w:tcBorders>
            <w:tcMar>
              <w:top w:w="15" w:type="dxa"/>
              <w:left w:w="15" w:type="dxa"/>
              <w:bottom w:w="0" w:type="dxa"/>
              <w:right w:w="15" w:type="dxa"/>
            </w:tcMar>
            <w:vAlign w:val="center"/>
          </w:tcPr>
          <w:p>
            <w:pPr>
              <w:widowControl/>
              <w:spacing w:line="240" w:lineRule="auto"/>
              <w:jc w:val="center"/>
              <w:rPr>
                <w:rFonts w:ascii="Times New Roman" w:hAnsi="Times New Roman" w:eastAsia="宋体"/>
                <w:kern w:val="0"/>
                <w:sz w:val="18"/>
                <w:szCs w:val="18"/>
              </w:rPr>
            </w:pPr>
          </w:p>
        </w:tc>
        <w:tc>
          <w:tcPr>
            <w:tcW w:w="562" w:type="dxa"/>
            <w:tcBorders>
              <w:top w:val="single" w:color="auto" w:sz="4" w:space="0"/>
              <w:bottom w:val="nil"/>
            </w:tcBorders>
            <w:tcMar>
              <w:top w:w="15" w:type="dxa"/>
              <w:left w:w="15" w:type="dxa"/>
              <w:bottom w:w="0" w:type="dxa"/>
              <w:right w:w="15" w:type="dxa"/>
            </w:tcMar>
            <w:vAlign w:val="center"/>
          </w:tcPr>
          <w:p>
            <w:pPr>
              <w:widowControl/>
              <w:spacing w:line="240" w:lineRule="auto"/>
              <w:jc w:val="center"/>
              <w:rPr>
                <w:rFonts w:ascii="Times New Roman" w:hAnsi="Times New Roman" w:eastAsia="宋体"/>
                <w:kern w:val="0"/>
                <w:sz w:val="18"/>
                <w:szCs w:val="18"/>
              </w:rPr>
            </w:pPr>
          </w:p>
        </w:tc>
        <w:tc>
          <w:tcPr>
            <w:tcW w:w="562" w:type="dxa"/>
            <w:tcBorders>
              <w:top w:val="single" w:color="auto" w:sz="4" w:space="0"/>
              <w:bottom w:val="nil"/>
            </w:tcBorders>
            <w:tcMar>
              <w:top w:w="15" w:type="dxa"/>
              <w:left w:w="15" w:type="dxa"/>
              <w:bottom w:w="0" w:type="dxa"/>
              <w:right w:w="15" w:type="dxa"/>
            </w:tcMar>
            <w:vAlign w:val="center"/>
          </w:tcPr>
          <w:p>
            <w:pPr>
              <w:widowControl/>
              <w:spacing w:line="240" w:lineRule="auto"/>
              <w:jc w:val="center"/>
              <w:rPr>
                <w:rFonts w:ascii="Times New Roman" w:hAnsi="Times New Roman" w:eastAsia="宋体"/>
                <w:kern w:val="0"/>
                <w:sz w:val="18"/>
                <w:szCs w:val="18"/>
              </w:rPr>
            </w:pPr>
          </w:p>
        </w:tc>
        <w:tc>
          <w:tcPr>
            <w:tcW w:w="562" w:type="dxa"/>
            <w:tcBorders>
              <w:top w:val="single" w:color="auto" w:sz="4" w:space="0"/>
              <w:bottom w:val="nil"/>
            </w:tcBorders>
            <w:tcMar>
              <w:top w:w="15" w:type="dxa"/>
              <w:left w:w="15" w:type="dxa"/>
              <w:bottom w:w="0" w:type="dxa"/>
              <w:right w:w="15" w:type="dxa"/>
            </w:tcMar>
            <w:vAlign w:val="center"/>
          </w:tcPr>
          <w:p>
            <w:pPr>
              <w:widowControl/>
              <w:spacing w:line="240" w:lineRule="auto"/>
              <w:jc w:val="center"/>
              <w:rPr>
                <w:rFonts w:ascii="Times New Roman" w:hAnsi="Times New Roman" w:eastAsia="宋体"/>
                <w:kern w:val="0"/>
                <w:sz w:val="18"/>
                <w:szCs w:val="18"/>
              </w:rPr>
            </w:pPr>
          </w:p>
        </w:tc>
        <w:tc>
          <w:tcPr>
            <w:tcW w:w="562" w:type="dxa"/>
            <w:tcBorders>
              <w:top w:val="single" w:color="auto" w:sz="4" w:space="0"/>
              <w:bottom w:val="nil"/>
            </w:tcBorders>
            <w:tcMar>
              <w:top w:w="15" w:type="dxa"/>
              <w:left w:w="15" w:type="dxa"/>
              <w:bottom w:w="0" w:type="dxa"/>
              <w:right w:w="15" w:type="dxa"/>
            </w:tcMar>
            <w:vAlign w:val="center"/>
          </w:tcPr>
          <w:p>
            <w:pPr>
              <w:widowControl/>
              <w:spacing w:line="240" w:lineRule="auto"/>
              <w:jc w:val="center"/>
              <w:rPr>
                <w:rFonts w:ascii="Times New Roman" w:hAnsi="Times New Roman" w:eastAsia="宋体"/>
                <w:kern w:val="0"/>
                <w:sz w:val="18"/>
                <w:szCs w:val="18"/>
              </w:rPr>
            </w:pPr>
          </w:p>
        </w:tc>
        <w:tc>
          <w:tcPr>
            <w:tcW w:w="562" w:type="dxa"/>
            <w:tcBorders>
              <w:top w:val="single" w:color="auto" w:sz="4" w:space="0"/>
              <w:bottom w:val="nil"/>
            </w:tcBorders>
            <w:tcMar>
              <w:top w:w="15" w:type="dxa"/>
              <w:left w:w="15" w:type="dxa"/>
              <w:bottom w:w="0" w:type="dxa"/>
              <w:right w:w="15" w:type="dxa"/>
            </w:tcMar>
            <w:vAlign w:val="center"/>
          </w:tcPr>
          <w:p>
            <w:pPr>
              <w:widowControl/>
              <w:spacing w:line="240" w:lineRule="auto"/>
              <w:jc w:val="center"/>
              <w:rPr>
                <w:rFonts w:ascii="Times New Roman" w:hAnsi="Times New Roman" w:eastAsia="宋体"/>
                <w:kern w:val="0"/>
                <w:sz w:val="18"/>
                <w:szCs w:val="18"/>
              </w:rPr>
            </w:pPr>
          </w:p>
        </w:tc>
        <w:tc>
          <w:tcPr>
            <w:tcW w:w="562" w:type="dxa"/>
            <w:tcBorders>
              <w:top w:val="single" w:color="auto" w:sz="4" w:space="0"/>
              <w:bottom w:val="nil"/>
            </w:tcBorders>
            <w:tcMar>
              <w:top w:w="15" w:type="dxa"/>
              <w:left w:w="15" w:type="dxa"/>
              <w:bottom w:w="0" w:type="dxa"/>
              <w:right w:w="15" w:type="dxa"/>
            </w:tcMar>
            <w:vAlign w:val="center"/>
          </w:tcPr>
          <w:p>
            <w:pPr>
              <w:widowControl/>
              <w:spacing w:line="240" w:lineRule="auto"/>
              <w:jc w:val="center"/>
              <w:rPr>
                <w:rFonts w:ascii="Times New Roman" w:hAnsi="Times New Roman" w:eastAsia="宋体"/>
                <w:kern w:val="0"/>
                <w:sz w:val="18"/>
                <w:szCs w:val="18"/>
              </w:rPr>
            </w:pPr>
          </w:p>
        </w:tc>
        <w:tc>
          <w:tcPr>
            <w:tcW w:w="562" w:type="dxa"/>
            <w:tcBorders>
              <w:top w:val="single" w:color="auto" w:sz="4" w:space="0"/>
              <w:bottom w:val="nil"/>
            </w:tcBorders>
            <w:tcMar>
              <w:top w:w="15" w:type="dxa"/>
              <w:left w:w="15" w:type="dxa"/>
              <w:bottom w:w="0" w:type="dxa"/>
              <w:right w:w="15" w:type="dxa"/>
            </w:tcMar>
            <w:vAlign w:val="center"/>
          </w:tcPr>
          <w:p>
            <w:pPr>
              <w:widowControl/>
              <w:spacing w:line="240" w:lineRule="auto"/>
              <w:jc w:val="center"/>
              <w:rPr>
                <w:rFonts w:ascii="Times New Roman" w:hAnsi="Times New Roman" w:eastAsia="宋体"/>
                <w:kern w:val="0"/>
                <w:sz w:val="18"/>
                <w:szCs w:val="18"/>
              </w:rPr>
            </w:pPr>
          </w:p>
        </w:tc>
        <w:tc>
          <w:tcPr>
            <w:tcW w:w="562" w:type="dxa"/>
            <w:tcBorders>
              <w:top w:val="single" w:color="auto" w:sz="4" w:space="0"/>
              <w:bottom w:val="nil"/>
            </w:tcBorders>
            <w:tcMar>
              <w:top w:w="15" w:type="dxa"/>
              <w:left w:w="15" w:type="dxa"/>
              <w:bottom w:w="0" w:type="dxa"/>
              <w:right w:w="15" w:type="dxa"/>
            </w:tcMar>
            <w:vAlign w:val="center"/>
          </w:tcPr>
          <w:p>
            <w:pPr>
              <w:widowControl/>
              <w:spacing w:line="240" w:lineRule="auto"/>
              <w:jc w:val="center"/>
              <w:rPr>
                <w:rFonts w:ascii="Times New Roman" w:hAnsi="Times New Roman" w:eastAsia="宋体"/>
                <w:kern w:val="0"/>
                <w:sz w:val="18"/>
                <w:szCs w:val="18"/>
              </w:rPr>
            </w:pPr>
          </w:p>
        </w:tc>
        <w:tc>
          <w:tcPr>
            <w:tcW w:w="562" w:type="dxa"/>
            <w:tcBorders>
              <w:top w:val="single" w:color="auto" w:sz="4" w:space="0"/>
              <w:bottom w:val="nil"/>
            </w:tcBorders>
            <w:tcMar>
              <w:top w:w="15" w:type="dxa"/>
              <w:left w:w="15" w:type="dxa"/>
              <w:bottom w:w="0" w:type="dxa"/>
              <w:right w:w="15" w:type="dxa"/>
            </w:tcMar>
            <w:vAlign w:val="center"/>
          </w:tcPr>
          <w:p>
            <w:pPr>
              <w:widowControl/>
              <w:spacing w:line="240" w:lineRule="auto"/>
              <w:jc w:val="center"/>
              <w:rPr>
                <w:rFonts w:ascii="Times New Roman" w:hAnsi="Times New Roman" w:eastAsia="宋体"/>
                <w:kern w:val="0"/>
                <w:sz w:val="18"/>
                <w:szCs w:val="18"/>
              </w:rPr>
            </w:pPr>
          </w:p>
        </w:tc>
        <w:tc>
          <w:tcPr>
            <w:tcW w:w="562" w:type="dxa"/>
            <w:tcBorders>
              <w:top w:val="single" w:color="auto" w:sz="4" w:space="0"/>
              <w:bottom w:val="nil"/>
            </w:tcBorders>
            <w:tcMar>
              <w:top w:w="15" w:type="dxa"/>
              <w:left w:w="15" w:type="dxa"/>
              <w:bottom w:w="0" w:type="dxa"/>
              <w:right w:w="15" w:type="dxa"/>
            </w:tcMar>
            <w:vAlign w:val="center"/>
          </w:tcPr>
          <w:p>
            <w:pPr>
              <w:widowControl/>
              <w:spacing w:line="240" w:lineRule="auto"/>
              <w:jc w:val="center"/>
              <w:rPr>
                <w:rFonts w:ascii="Times New Roman" w:hAnsi="Times New Roman" w:eastAsia="宋体"/>
                <w:kern w:val="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186" w:hRule="atLeast"/>
        </w:trPr>
        <w:tc>
          <w:tcPr>
            <w:tcW w:w="2232" w:type="dxa"/>
            <w:tcBorders>
              <w:top w:val="nil"/>
              <w:bottom w:val="nil"/>
            </w:tcBorders>
            <w:tcMar>
              <w:top w:w="15" w:type="dxa"/>
              <w:left w:w="15" w:type="dxa"/>
              <w:bottom w:w="0" w:type="dxa"/>
              <w:right w:w="15" w:type="dxa"/>
            </w:tcMar>
            <w:vAlign w:val="center"/>
          </w:tcPr>
          <w:p>
            <w:pPr>
              <w:widowControl/>
              <w:spacing w:line="240" w:lineRule="auto"/>
              <w:jc w:val="left"/>
              <w:textAlignment w:val="bottom"/>
              <w:rPr>
                <w:rFonts w:ascii="Times New Roman" w:hAnsi="Times New Roman" w:eastAsia="宋体"/>
                <w:kern w:val="0"/>
                <w:sz w:val="18"/>
                <w:szCs w:val="18"/>
              </w:rPr>
            </w:pPr>
            <w:r>
              <w:rPr>
                <w:rFonts w:ascii="Times New Roman" w:hAnsi="宋体" w:eastAsia="宋体"/>
                <w:kern w:val="24"/>
                <w:sz w:val="18"/>
                <w:szCs w:val="18"/>
              </w:rPr>
              <w:t>活动银行月均网点数量</w:t>
            </w:r>
          </w:p>
        </w:tc>
        <w:tc>
          <w:tcPr>
            <w:tcW w:w="562" w:type="dxa"/>
            <w:tcBorders>
              <w:top w:val="nil"/>
              <w:bottom w:val="nil"/>
            </w:tcBorders>
            <w:tcMar>
              <w:top w:w="15" w:type="dxa"/>
              <w:left w:w="15" w:type="dxa"/>
              <w:bottom w:w="0" w:type="dxa"/>
              <w:right w:w="15" w:type="dxa"/>
            </w:tcMar>
            <w:vAlign w:val="center"/>
          </w:tcPr>
          <w:p>
            <w:pPr>
              <w:widowControl/>
              <w:spacing w:line="240" w:lineRule="auto"/>
              <w:jc w:val="right"/>
              <w:textAlignment w:val="bottom"/>
              <w:rPr>
                <w:rFonts w:ascii="Times New Roman" w:hAnsi="Times New Roman" w:eastAsia="宋体"/>
                <w:kern w:val="0"/>
                <w:sz w:val="18"/>
                <w:szCs w:val="18"/>
              </w:rPr>
            </w:pPr>
            <w:r>
              <w:rPr>
                <w:rFonts w:ascii="Times New Roman" w:hAnsi="Times New Roman" w:eastAsia="宋体"/>
                <w:kern w:val="24"/>
                <w:sz w:val="18"/>
                <w:szCs w:val="18"/>
              </w:rPr>
              <w:t>115</w:t>
            </w:r>
          </w:p>
        </w:tc>
        <w:tc>
          <w:tcPr>
            <w:tcW w:w="562" w:type="dxa"/>
            <w:tcBorders>
              <w:top w:val="nil"/>
              <w:bottom w:val="nil"/>
            </w:tcBorders>
            <w:tcMar>
              <w:top w:w="15" w:type="dxa"/>
              <w:left w:w="15" w:type="dxa"/>
              <w:bottom w:w="0" w:type="dxa"/>
              <w:right w:w="15" w:type="dxa"/>
            </w:tcMar>
            <w:vAlign w:val="center"/>
          </w:tcPr>
          <w:p>
            <w:pPr>
              <w:widowControl/>
              <w:spacing w:line="240" w:lineRule="auto"/>
              <w:jc w:val="right"/>
              <w:textAlignment w:val="bottom"/>
              <w:rPr>
                <w:rFonts w:ascii="Times New Roman" w:hAnsi="Times New Roman" w:eastAsia="宋体"/>
                <w:kern w:val="0"/>
                <w:sz w:val="18"/>
                <w:szCs w:val="18"/>
              </w:rPr>
            </w:pPr>
            <w:r>
              <w:rPr>
                <w:rFonts w:ascii="Times New Roman" w:hAnsi="Times New Roman" w:eastAsia="宋体"/>
                <w:kern w:val="24"/>
                <w:sz w:val="18"/>
                <w:szCs w:val="18"/>
              </w:rPr>
              <w:t>124</w:t>
            </w:r>
          </w:p>
        </w:tc>
        <w:tc>
          <w:tcPr>
            <w:tcW w:w="562" w:type="dxa"/>
            <w:tcBorders>
              <w:top w:val="nil"/>
              <w:bottom w:val="nil"/>
            </w:tcBorders>
            <w:tcMar>
              <w:top w:w="15" w:type="dxa"/>
              <w:left w:w="15" w:type="dxa"/>
              <w:bottom w:w="0" w:type="dxa"/>
              <w:right w:w="15" w:type="dxa"/>
            </w:tcMar>
            <w:vAlign w:val="center"/>
          </w:tcPr>
          <w:p>
            <w:pPr>
              <w:widowControl/>
              <w:spacing w:line="240" w:lineRule="auto"/>
              <w:jc w:val="right"/>
              <w:textAlignment w:val="bottom"/>
              <w:rPr>
                <w:rFonts w:ascii="Times New Roman" w:hAnsi="Times New Roman" w:eastAsia="宋体"/>
                <w:kern w:val="0"/>
                <w:sz w:val="18"/>
                <w:szCs w:val="18"/>
              </w:rPr>
            </w:pPr>
            <w:r>
              <w:rPr>
                <w:rFonts w:ascii="Times New Roman" w:hAnsi="Times New Roman" w:eastAsia="宋体"/>
                <w:kern w:val="24"/>
                <w:sz w:val="18"/>
                <w:szCs w:val="18"/>
              </w:rPr>
              <w:t>132</w:t>
            </w:r>
          </w:p>
        </w:tc>
        <w:tc>
          <w:tcPr>
            <w:tcW w:w="562" w:type="dxa"/>
            <w:tcBorders>
              <w:top w:val="nil"/>
              <w:bottom w:val="nil"/>
            </w:tcBorders>
            <w:tcMar>
              <w:top w:w="15" w:type="dxa"/>
              <w:left w:w="15" w:type="dxa"/>
              <w:bottom w:w="0" w:type="dxa"/>
              <w:right w:w="15" w:type="dxa"/>
            </w:tcMar>
            <w:vAlign w:val="center"/>
          </w:tcPr>
          <w:p>
            <w:pPr>
              <w:widowControl/>
              <w:spacing w:line="240" w:lineRule="auto"/>
              <w:jc w:val="right"/>
              <w:textAlignment w:val="bottom"/>
              <w:rPr>
                <w:rFonts w:ascii="Times New Roman" w:hAnsi="Times New Roman" w:eastAsia="宋体"/>
                <w:kern w:val="0"/>
                <w:sz w:val="18"/>
                <w:szCs w:val="18"/>
              </w:rPr>
            </w:pPr>
            <w:r>
              <w:rPr>
                <w:rFonts w:ascii="Times New Roman" w:hAnsi="Times New Roman" w:eastAsia="宋体"/>
                <w:kern w:val="24"/>
                <w:sz w:val="18"/>
                <w:szCs w:val="18"/>
              </w:rPr>
              <w:t>142</w:t>
            </w:r>
          </w:p>
        </w:tc>
        <w:tc>
          <w:tcPr>
            <w:tcW w:w="562" w:type="dxa"/>
            <w:tcBorders>
              <w:top w:val="nil"/>
              <w:bottom w:val="nil"/>
            </w:tcBorders>
            <w:tcMar>
              <w:top w:w="15" w:type="dxa"/>
              <w:left w:w="15" w:type="dxa"/>
              <w:bottom w:w="0" w:type="dxa"/>
              <w:right w:w="15" w:type="dxa"/>
            </w:tcMar>
            <w:vAlign w:val="center"/>
          </w:tcPr>
          <w:p>
            <w:pPr>
              <w:widowControl/>
              <w:spacing w:line="240" w:lineRule="auto"/>
              <w:jc w:val="right"/>
              <w:textAlignment w:val="bottom"/>
              <w:rPr>
                <w:rFonts w:ascii="Times New Roman" w:hAnsi="Times New Roman" w:eastAsia="宋体"/>
                <w:kern w:val="0"/>
                <w:sz w:val="18"/>
                <w:szCs w:val="18"/>
              </w:rPr>
            </w:pPr>
            <w:r>
              <w:rPr>
                <w:rFonts w:ascii="Times New Roman" w:hAnsi="Times New Roman" w:eastAsia="宋体"/>
                <w:kern w:val="24"/>
                <w:sz w:val="18"/>
                <w:szCs w:val="18"/>
              </w:rPr>
              <w:t>152</w:t>
            </w:r>
          </w:p>
        </w:tc>
        <w:tc>
          <w:tcPr>
            <w:tcW w:w="562" w:type="dxa"/>
            <w:tcBorders>
              <w:top w:val="nil"/>
              <w:bottom w:val="nil"/>
            </w:tcBorders>
            <w:tcMar>
              <w:top w:w="15" w:type="dxa"/>
              <w:left w:w="15" w:type="dxa"/>
              <w:bottom w:w="0" w:type="dxa"/>
              <w:right w:w="15" w:type="dxa"/>
            </w:tcMar>
            <w:vAlign w:val="center"/>
          </w:tcPr>
          <w:p>
            <w:pPr>
              <w:widowControl/>
              <w:spacing w:line="240" w:lineRule="auto"/>
              <w:jc w:val="right"/>
              <w:textAlignment w:val="bottom"/>
              <w:rPr>
                <w:rFonts w:ascii="Times New Roman" w:hAnsi="Times New Roman" w:eastAsia="宋体"/>
                <w:kern w:val="0"/>
                <w:sz w:val="18"/>
                <w:szCs w:val="18"/>
              </w:rPr>
            </w:pPr>
            <w:r>
              <w:rPr>
                <w:rFonts w:ascii="Times New Roman" w:hAnsi="Times New Roman" w:eastAsia="宋体"/>
                <w:kern w:val="24"/>
                <w:sz w:val="18"/>
                <w:szCs w:val="18"/>
              </w:rPr>
              <w:t>164</w:t>
            </w:r>
          </w:p>
        </w:tc>
        <w:tc>
          <w:tcPr>
            <w:tcW w:w="562" w:type="dxa"/>
            <w:tcBorders>
              <w:top w:val="nil"/>
              <w:bottom w:val="nil"/>
            </w:tcBorders>
            <w:tcMar>
              <w:top w:w="15" w:type="dxa"/>
              <w:left w:w="15" w:type="dxa"/>
              <w:bottom w:w="0" w:type="dxa"/>
              <w:right w:w="15" w:type="dxa"/>
            </w:tcMar>
            <w:vAlign w:val="center"/>
          </w:tcPr>
          <w:p>
            <w:pPr>
              <w:widowControl/>
              <w:spacing w:line="240" w:lineRule="auto"/>
              <w:jc w:val="right"/>
              <w:textAlignment w:val="bottom"/>
              <w:rPr>
                <w:rFonts w:ascii="Times New Roman" w:hAnsi="Times New Roman" w:eastAsia="宋体"/>
                <w:kern w:val="0"/>
                <w:sz w:val="18"/>
                <w:szCs w:val="18"/>
              </w:rPr>
            </w:pPr>
            <w:r>
              <w:rPr>
                <w:rFonts w:ascii="Times New Roman" w:hAnsi="Times New Roman" w:eastAsia="宋体"/>
                <w:kern w:val="24"/>
                <w:sz w:val="18"/>
                <w:szCs w:val="18"/>
              </w:rPr>
              <w:t>175</w:t>
            </w:r>
          </w:p>
        </w:tc>
        <w:tc>
          <w:tcPr>
            <w:tcW w:w="562" w:type="dxa"/>
            <w:tcBorders>
              <w:top w:val="nil"/>
              <w:bottom w:val="nil"/>
            </w:tcBorders>
            <w:tcMar>
              <w:top w:w="15" w:type="dxa"/>
              <w:left w:w="15" w:type="dxa"/>
              <w:bottom w:w="0" w:type="dxa"/>
              <w:right w:w="15" w:type="dxa"/>
            </w:tcMar>
            <w:vAlign w:val="center"/>
          </w:tcPr>
          <w:p>
            <w:pPr>
              <w:widowControl/>
              <w:spacing w:line="240" w:lineRule="auto"/>
              <w:jc w:val="right"/>
              <w:textAlignment w:val="bottom"/>
              <w:rPr>
                <w:rFonts w:ascii="Times New Roman" w:hAnsi="Times New Roman" w:eastAsia="宋体"/>
                <w:kern w:val="0"/>
                <w:sz w:val="18"/>
                <w:szCs w:val="18"/>
              </w:rPr>
            </w:pPr>
            <w:r>
              <w:rPr>
                <w:rFonts w:ascii="Times New Roman" w:hAnsi="Times New Roman" w:eastAsia="宋体"/>
                <w:kern w:val="24"/>
                <w:sz w:val="18"/>
                <w:szCs w:val="18"/>
              </w:rPr>
              <w:t>186</w:t>
            </w:r>
          </w:p>
        </w:tc>
        <w:tc>
          <w:tcPr>
            <w:tcW w:w="562" w:type="dxa"/>
            <w:tcBorders>
              <w:top w:val="nil"/>
              <w:bottom w:val="nil"/>
            </w:tcBorders>
            <w:tcMar>
              <w:top w:w="15" w:type="dxa"/>
              <w:left w:w="15" w:type="dxa"/>
              <w:bottom w:w="0" w:type="dxa"/>
              <w:right w:w="15" w:type="dxa"/>
            </w:tcMar>
            <w:vAlign w:val="center"/>
          </w:tcPr>
          <w:p>
            <w:pPr>
              <w:widowControl/>
              <w:spacing w:line="240" w:lineRule="auto"/>
              <w:jc w:val="right"/>
              <w:textAlignment w:val="bottom"/>
              <w:rPr>
                <w:rFonts w:ascii="Times New Roman" w:hAnsi="Times New Roman" w:eastAsia="宋体"/>
                <w:kern w:val="0"/>
                <w:sz w:val="18"/>
                <w:szCs w:val="18"/>
              </w:rPr>
            </w:pPr>
            <w:r>
              <w:rPr>
                <w:rFonts w:ascii="Times New Roman" w:hAnsi="Times New Roman" w:eastAsia="宋体"/>
                <w:kern w:val="24"/>
                <w:sz w:val="18"/>
                <w:szCs w:val="18"/>
              </w:rPr>
              <w:t>197</w:t>
            </w:r>
          </w:p>
        </w:tc>
        <w:tc>
          <w:tcPr>
            <w:tcW w:w="562" w:type="dxa"/>
            <w:tcBorders>
              <w:top w:val="nil"/>
              <w:bottom w:val="nil"/>
            </w:tcBorders>
            <w:tcMar>
              <w:top w:w="15" w:type="dxa"/>
              <w:left w:w="15" w:type="dxa"/>
              <w:bottom w:w="0" w:type="dxa"/>
              <w:right w:w="15" w:type="dxa"/>
            </w:tcMar>
            <w:vAlign w:val="center"/>
          </w:tcPr>
          <w:p>
            <w:pPr>
              <w:widowControl/>
              <w:spacing w:line="240" w:lineRule="auto"/>
              <w:jc w:val="right"/>
              <w:textAlignment w:val="bottom"/>
              <w:rPr>
                <w:rFonts w:ascii="Times New Roman" w:hAnsi="Times New Roman" w:eastAsia="宋体"/>
                <w:kern w:val="0"/>
                <w:sz w:val="18"/>
                <w:szCs w:val="18"/>
              </w:rPr>
            </w:pPr>
            <w:r>
              <w:rPr>
                <w:rFonts w:ascii="Times New Roman" w:hAnsi="Times New Roman" w:eastAsia="宋体"/>
                <w:kern w:val="24"/>
                <w:sz w:val="18"/>
                <w:szCs w:val="18"/>
              </w:rPr>
              <w:t>208</w:t>
            </w:r>
          </w:p>
        </w:tc>
        <w:tc>
          <w:tcPr>
            <w:tcW w:w="562" w:type="dxa"/>
            <w:tcBorders>
              <w:top w:val="nil"/>
              <w:bottom w:val="nil"/>
            </w:tcBorders>
            <w:tcMar>
              <w:top w:w="15" w:type="dxa"/>
              <w:left w:w="15" w:type="dxa"/>
              <w:bottom w:w="0" w:type="dxa"/>
              <w:right w:w="15" w:type="dxa"/>
            </w:tcMar>
            <w:vAlign w:val="center"/>
          </w:tcPr>
          <w:p>
            <w:pPr>
              <w:widowControl/>
              <w:spacing w:line="240" w:lineRule="auto"/>
              <w:jc w:val="right"/>
              <w:textAlignment w:val="bottom"/>
              <w:rPr>
                <w:rFonts w:ascii="Times New Roman" w:hAnsi="Times New Roman" w:eastAsia="宋体"/>
                <w:kern w:val="0"/>
                <w:sz w:val="18"/>
                <w:szCs w:val="18"/>
              </w:rPr>
            </w:pPr>
            <w:r>
              <w:rPr>
                <w:rFonts w:ascii="Times New Roman" w:hAnsi="Times New Roman" w:eastAsia="宋体"/>
                <w:kern w:val="24"/>
                <w:sz w:val="18"/>
                <w:szCs w:val="18"/>
              </w:rPr>
              <w:t>217</w:t>
            </w:r>
          </w:p>
        </w:tc>
        <w:tc>
          <w:tcPr>
            <w:tcW w:w="562" w:type="dxa"/>
            <w:tcBorders>
              <w:top w:val="nil"/>
              <w:bottom w:val="nil"/>
            </w:tcBorders>
            <w:tcMar>
              <w:top w:w="15" w:type="dxa"/>
              <w:left w:w="15" w:type="dxa"/>
              <w:bottom w:w="0" w:type="dxa"/>
              <w:right w:w="15" w:type="dxa"/>
            </w:tcMar>
            <w:vAlign w:val="center"/>
          </w:tcPr>
          <w:p>
            <w:pPr>
              <w:widowControl/>
              <w:spacing w:line="240" w:lineRule="auto"/>
              <w:jc w:val="right"/>
              <w:textAlignment w:val="bottom"/>
              <w:rPr>
                <w:rFonts w:ascii="Times New Roman" w:hAnsi="Times New Roman" w:eastAsia="宋体"/>
                <w:kern w:val="0"/>
                <w:sz w:val="18"/>
                <w:szCs w:val="18"/>
              </w:rPr>
            </w:pPr>
            <w:r>
              <w:rPr>
                <w:rFonts w:ascii="Times New Roman" w:hAnsi="Times New Roman" w:eastAsia="宋体"/>
                <w:kern w:val="24"/>
                <w:sz w:val="18"/>
                <w:szCs w:val="18"/>
              </w:rPr>
              <w:t>228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186" w:hRule="atLeast"/>
        </w:trPr>
        <w:tc>
          <w:tcPr>
            <w:tcW w:w="2232" w:type="dxa"/>
            <w:tcBorders>
              <w:top w:val="nil"/>
              <w:bottom w:val="nil"/>
            </w:tcBorders>
            <w:tcMar>
              <w:top w:w="15" w:type="dxa"/>
              <w:left w:w="15" w:type="dxa"/>
              <w:bottom w:w="0" w:type="dxa"/>
              <w:right w:w="15" w:type="dxa"/>
            </w:tcMar>
            <w:vAlign w:val="center"/>
          </w:tcPr>
          <w:p>
            <w:pPr>
              <w:widowControl/>
              <w:spacing w:line="240" w:lineRule="auto"/>
              <w:jc w:val="left"/>
              <w:textAlignment w:val="bottom"/>
              <w:rPr>
                <w:rFonts w:ascii="Times New Roman" w:hAnsi="Times New Roman" w:eastAsia="宋体"/>
                <w:kern w:val="0"/>
                <w:sz w:val="18"/>
                <w:szCs w:val="18"/>
              </w:rPr>
            </w:pPr>
            <w:r>
              <w:rPr>
                <w:rFonts w:ascii="Times New Roman" w:hAnsi="宋体" w:eastAsia="宋体"/>
                <w:kern w:val="24"/>
                <w:sz w:val="18"/>
                <w:szCs w:val="18"/>
              </w:rPr>
              <w:t>活动网点数增长率</w:t>
            </w:r>
          </w:p>
        </w:tc>
        <w:tc>
          <w:tcPr>
            <w:tcW w:w="562" w:type="dxa"/>
            <w:tcBorders>
              <w:top w:val="nil"/>
              <w:bottom w:val="nil"/>
            </w:tcBorders>
            <w:tcMar>
              <w:top w:w="15" w:type="dxa"/>
              <w:left w:w="15" w:type="dxa"/>
              <w:bottom w:w="0" w:type="dxa"/>
              <w:right w:w="15" w:type="dxa"/>
            </w:tcMar>
            <w:vAlign w:val="center"/>
          </w:tcPr>
          <w:p>
            <w:pPr>
              <w:widowControl/>
              <w:spacing w:line="240" w:lineRule="auto"/>
              <w:jc w:val="right"/>
              <w:rPr>
                <w:rFonts w:ascii="Times New Roman" w:hAnsi="Times New Roman" w:eastAsia="宋体"/>
                <w:kern w:val="0"/>
                <w:sz w:val="18"/>
                <w:szCs w:val="18"/>
              </w:rPr>
            </w:pPr>
          </w:p>
        </w:tc>
        <w:tc>
          <w:tcPr>
            <w:tcW w:w="562" w:type="dxa"/>
            <w:tcBorders>
              <w:top w:val="nil"/>
              <w:bottom w:val="nil"/>
            </w:tcBorders>
            <w:tcMar>
              <w:top w:w="15" w:type="dxa"/>
              <w:left w:w="15" w:type="dxa"/>
              <w:bottom w:w="0" w:type="dxa"/>
              <w:right w:w="15" w:type="dxa"/>
            </w:tcMar>
            <w:vAlign w:val="center"/>
          </w:tcPr>
          <w:p>
            <w:pPr>
              <w:widowControl/>
              <w:spacing w:line="240" w:lineRule="auto"/>
              <w:jc w:val="right"/>
              <w:textAlignment w:val="bottom"/>
              <w:rPr>
                <w:rFonts w:ascii="Times New Roman" w:hAnsi="Times New Roman" w:eastAsia="宋体"/>
                <w:kern w:val="0"/>
                <w:sz w:val="18"/>
                <w:szCs w:val="18"/>
              </w:rPr>
            </w:pPr>
            <w:r>
              <w:rPr>
                <w:rFonts w:ascii="Times New Roman" w:hAnsi="Times New Roman" w:eastAsia="宋体"/>
                <w:kern w:val="24"/>
                <w:sz w:val="18"/>
                <w:szCs w:val="18"/>
              </w:rPr>
              <w:t>8%</w:t>
            </w:r>
          </w:p>
        </w:tc>
        <w:tc>
          <w:tcPr>
            <w:tcW w:w="562" w:type="dxa"/>
            <w:tcBorders>
              <w:top w:val="nil"/>
              <w:bottom w:val="nil"/>
            </w:tcBorders>
            <w:tcMar>
              <w:top w:w="15" w:type="dxa"/>
              <w:left w:w="15" w:type="dxa"/>
              <w:bottom w:w="0" w:type="dxa"/>
              <w:right w:w="15" w:type="dxa"/>
            </w:tcMar>
            <w:vAlign w:val="center"/>
          </w:tcPr>
          <w:p>
            <w:pPr>
              <w:widowControl/>
              <w:spacing w:line="240" w:lineRule="auto"/>
              <w:jc w:val="right"/>
              <w:textAlignment w:val="bottom"/>
              <w:rPr>
                <w:rFonts w:ascii="Times New Roman" w:hAnsi="Times New Roman" w:eastAsia="宋体"/>
                <w:kern w:val="0"/>
                <w:sz w:val="18"/>
                <w:szCs w:val="18"/>
              </w:rPr>
            </w:pPr>
            <w:r>
              <w:rPr>
                <w:rFonts w:ascii="Times New Roman" w:hAnsi="Times New Roman" w:eastAsia="宋体"/>
                <w:kern w:val="24"/>
                <w:sz w:val="18"/>
                <w:szCs w:val="18"/>
              </w:rPr>
              <w:t>7%</w:t>
            </w:r>
          </w:p>
        </w:tc>
        <w:tc>
          <w:tcPr>
            <w:tcW w:w="562" w:type="dxa"/>
            <w:tcBorders>
              <w:top w:val="nil"/>
              <w:bottom w:val="nil"/>
            </w:tcBorders>
            <w:tcMar>
              <w:top w:w="15" w:type="dxa"/>
              <w:left w:w="15" w:type="dxa"/>
              <w:bottom w:w="0" w:type="dxa"/>
              <w:right w:w="15" w:type="dxa"/>
            </w:tcMar>
            <w:vAlign w:val="center"/>
          </w:tcPr>
          <w:p>
            <w:pPr>
              <w:widowControl/>
              <w:spacing w:line="240" w:lineRule="auto"/>
              <w:jc w:val="right"/>
              <w:textAlignment w:val="bottom"/>
              <w:rPr>
                <w:rFonts w:ascii="Times New Roman" w:hAnsi="Times New Roman" w:eastAsia="宋体"/>
                <w:kern w:val="0"/>
                <w:sz w:val="18"/>
                <w:szCs w:val="18"/>
              </w:rPr>
            </w:pPr>
            <w:r>
              <w:rPr>
                <w:rFonts w:ascii="Times New Roman" w:hAnsi="Times New Roman" w:eastAsia="宋体"/>
                <w:kern w:val="24"/>
                <w:sz w:val="18"/>
                <w:szCs w:val="18"/>
              </w:rPr>
              <w:t>8%</w:t>
            </w:r>
          </w:p>
        </w:tc>
        <w:tc>
          <w:tcPr>
            <w:tcW w:w="562" w:type="dxa"/>
            <w:tcBorders>
              <w:top w:val="nil"/>
              <w:bottom w:val="nil"/>
            </w:tcBorders>
            <w:tcMar>
              <w:top w:w="15" w:type="dxa"/>
              <w:left w:w="15" w:type="dxa"/>
              <w:bottom w:w="0" w:type="dxa"/>
              <w:right w:w="15" w:type="dxa"/>
            </w:tcMar>
            <w:vAlign w:val="center"/>
          </w:tcPr>
          <w:p>
            <w:pPr>
              <w:widowControl/>
              <w:spacing w:line="240" w:lineRule="auto"/>
              <w:jc w:val="right"/>
              <w:textAlignment w:val="bottom"/>
              <w:rPr>
                <w:rFonts w:ascii="Times New Roman" w:hAnsi="Times New Roman" w:eastAsia="宋体"/>
                <w:kern w:val="0"/>
                <w:sz w:val="18"/>
                <w:szCs w:val="18"/>
              </w:rPr>
            </w:pPr>
            <w:r>
              <w:rPr>
                <w:rFonts w:ascii="Times New Roman" w:hAnsi="Times New Roman" w:eastAsia="宋体"/>
                <w:kern w:val="24"/>
                <w:sz w:val="18"/>
                <w:szCs w:val="18"/>
              </w:rPr>
              <w:t>8%</w:t>
            </w:r>
          </w:p>
        </w:tc>
        <w:tc>
          <w:tcPr>
            <w:tcW w:w="562" w:type="dxa"/>
            <w:tcBorders>
              <w:top w:val="nil"/>
              <w:bottom w:val="nil"/>
            </w:tcBorders>
            <w:tcMar>
              <w:top w:w="15" w:type="dxa"/>
              <w:left w:w="15" w:type="dxa"/>
              <w:bottom w:w="0" w:type="dxa"/>
              <w:right w:w="15" w:type="dxa"/>
            </w:tcMar>
            <w:vAlign w:val="center"/>
          </w:tcPr>
          <w:p>
            <w:pPr>
              <w:widowControl/>
              <w:spacing w:line="240" w:lineRule="auto"/>
              <w:jc w:val="right"/>
              <w:textAlignment w:val="bottom"/>
              <w:rPr>
                <w:rFonts w:ascii="Times New Roman" w:hAnsi="Times New Roman" w:eastAsia="宋体"/>
                <w:kern w:val="0"/>
                <w:sz w:val="18"/>
                <w:szCs w:val="18"/>
              </w:rPr>
            </w:pPr>
            <w:r>
              <w:rPr>
                <w:rFonts w:ascii="Times New Roman" w:hAnsi="Times New Roman" w:eastAsia="宋体"/>
                <w:kern w:val="24"/>
                <w:sz w:val="18"/>
                <w:szCs w:val="18"/>
              </w:rPr>
              <w:t>8%</w:t>
            </w:r>
          </w:p>
        </w:tc>
        <w:tc>
          <w:tcPr>
            <w:tcW w:w="562" w:type="dxa"/>
            <w:tcBorders>
              <w:top w:val="nil"/>
              <w:bottom w:val="nil"/>
            </w:tcBorders>
            <w:tcMar>
              <w:top w:w="15" w:type="dxa"/>
              <w:left w:w="15" w:type="dxa"/>
              <w:bottom w:w="0" w:type="dxa"/>
              <w:right w:w="15" w:type="dxa"/>
            </w:tcMar>
            <w:vAlign w:val="center"/>
          </w:tcPr>
          <w:p>
            <w:pPr>
              <w:widowControl/>
              <w:spacing w:line="240" w:lineRule="auto"/>
              <w:jc w:val="right"/>
              <w:textAlignment w:val="bottom"/>
              <w:rPr>
                <w:rFonts w:ascii="Times New Roman" w:hAnsi="Times New Roman" w:eastAsia="宋体"/>
                <w:kern w:val="0"/>
                <w:sz w:val="18"/>
                <w:szCs w:val="18"/>
              </w:rPr>
            </w:pPr>
            <w:r>
              <w:rPr>
                <w:rFonts w:ascii="Times New Roman" w:hAnsi="Times New Roman" w:eastAsia="宋体"/>
                <w:kern w:val="24"/>
                <w:sz w:val="18"/>
                <w:szCs w:val="18"/>
              </w:rPr>
              <w:t>7%</w:t>
            </w:r>
          </w:p>
        </w:tc>
        <w:tc>
          <w:tcPr>
            <w:tcW w:w="562" w:type="dxa"/>
            <w:tcBorders>
              <w:top w:val="nil"/>
              <w:bottom w:val="nil"/>
            </w:tcBorders>
            <w:tcMar>
              <w:top w:w="15" w:type="dxa"/>
              <w:left w:w="15" w:type="dxa"/>
              <w:bottom w:w="0" w:type="dxa"/>
              <w:right w:w="15" w:type="dxa"/>
            </w:tcMar>
            <w:vAlign w:val="center"/>
          </w:tcPr>
          <w:p>
            <w:pPr>
              <w:widowControl/>
              <w:spacing w:line="240" w:lineRule="auto"/>
              <w:jc w:val="right"/>
              <w:textAlignment w:val="bottom"/>
              <w:rPr>
                <w:rFonts w:ascii="Times New Roman" w:hAnsi="Times New Roman" w:eastAsia="宋体"/>
                <w:kern w:val="0"/>
                <w:sz w:val="18"/>
                <w:szCs w:val="18"/>
              </w:rPr>
            </w:pPr>
            <w:r>
              <w:rPr>
                <w:rFonts w:ascii="Times New Roman" w:hAnsi="Times New Roman" w:eastAsia="宋体"/>
                <w:kern w:val="24"/>
                <w:sz w:val="18"/>
                <w:szCs w:val="18"/>
              </w:rPr>
              <w:t>7%</w:t>
            </w:r>
          </w:p>
        </w:tc>
        <w:tc>
          <w:tcPr>
            <w:tcW w:w="562" w:type="dxa"/>
            <w:tcBorders>
              <w:top w:val="nil"/>
              <w:bottom w:val="nil"/>
            </w:tcBorders>
            <w:tcMar>
              <w:top w:w="15" w:type="dxa"/>
              <w:left w:w="15" w:type="dxa"/>
              <w:bottom w:w="0" w:type="dxa"/>
              <w:right w:w="15" w:type="dxa"/>
            </w:tcMar>
            <w:vAlign w:val="center"/>
          </w:tcPr>
          <w:p>
            <w:pPr>
              <w:widowControl/>
              <w:spacing w:line="240" w:lineRule="auto"/>
              <w:jc w:val="right"/>
              <w:textAlignment w:val="bottom"/>
              <w:rPr>
                <w:rFonts w:ascii="Times New Roman" w:hAnsi="Times New Roman" w:eastAsia="宋体"/>
                <w:kern w:val="0"/>
                <w:sz w:val="18"/>
                <w:szCs w:val="18"/>
              </w:rPr>
            </w:pPr>
            <w:r>
              <w:rPr>
                <w:rFonts w:ascii="Times New Roman" w:hAnsi="Times New Roman" w:eastAsia="宋体"/>
                <w:kern w:val="24"/>
                <w:sz w:val="18"/>
                <w:szCs w:val="18"/>
              </w:rPr>
              <w:t>6%</w:t>
            </w:r>
          </w:p>
        </w:tc>
        <w:tc>
          <w:tcPr>
            <w:tcW w:w="562" w:type="dxa"/>
            <w:tcBorders>
              <w:top w:val="nil"/>
              <w:bottom w:val="nil"/>
            </w:tcBorders>
            <w:tcMar>
              <w:top w:w="15" w:type="dxa"/>
              <w:left w:w="15" w:type="dxa"/>
              <w:bottom w:w="0" w:type="dxa"/>
              <w:right w:w="15" w:type="dxa"/>
            </w:tcMar>
            <w:vAlign w:val="center"/>
          </w:tcPr>
          <w:p>
            <w:pPr>
              <w:widowControl/>
              <w:spacing w:line="240" w:lineRule="auto"/>
              <w:jc w:val="right"/>
              <w:textAlignment w:val="bottom"/>
              <w:rPr>
                <w:rFonts w:ascii="Times New Roman" w:hAnsi="Times New Roman" w:eastAsia="宋体"/>
                <w:kern w:val="0"/>
                <w:sz w:val="18"/>
                <w:szCs w:val="18"/>
              </w:rPr>
            </w:pPr>
            <w:r>
              <w:rPr>
                <w:rFonts w:ascii="Times New Roman" w:hAnsi="Times New Roman" w:eastAsia="宋体"/>
                <w:kern w:val="24"/>
                <w:sz w:val="18"/>
                <w:szCs w:val="18"/>
              </w:rPr>
              <w:t>6%</w:t>
            </w:r>
          </w:p>
        </w:tc>
        <w:tc>
          <w:tcPr>
            <w:tcW w:w="562" w:type="dxa"/>
            <w:tcBorders>
              <w:top w:val="nil"/>
              <w:bottom w:val="nil"/>
            </w:tcBorders>
            <w:tcMar>
              <w:top w:w="15" w:type="dxa"/>
              <w:left w:w="15" w:type="dxa"/>
              <w:bottom w:w="0" w:type="dxa"/>
              <w:right w:w="15" w:type="dxa"/>
            </w:tcMar>
            <w:vAlign w:val="center"/>
          </w:tcPr>
          <w:p>
            <w:pPr>
              <w:widowControl/>
              <w:spacing w:line="240" w:lineRule="auto"/>
              <w:jc w:val="right"/>
              <w:textAlignment w:val="bottom"/>
              <w:rPr>
                <w:rFonts w:ascii="Times New Roman" w:hAnsi="Times New Roman" w:eastAsia="宋体"/>
                <w:kern w:val="0"/>
                <w:sz w:val="18"/>
                <w:szCs w:val="18"/>
              </w:rPr>
            </w:pPr>
            <w:r>
              <w:rPr>
                <w:rFonts w:ascii="Times New Roman" w:hAnsi="Times New Roman" w:eastAsia="宋体"/>
                <w:kern w:val="24"/>
                <w:sz w:val="18"/>
                <w:szCs w:val="18"/>
              </w:rPr>
              <w:t>5%</w:t>
            </w:r>
          </w:p>
        </w:tc>
        <w:tc>
          <w:tcPr>
            <w:tcW w:w="562" w:type="dxa"/>
            <w:tcBorders>
              <w:top w:val="nil"/>
              <w:bottom w:val="nil"/>
            </w:tcBorders>
            <w:tcMar>
              <w:top w:w="15" w:type="dxa"/>
              <w:left w:w="15" w:type="dxa"/>
              <w:bottom w:w="0" w:type="dxa"/>
              <w:right w:w="15" w:type="dxa"/>
            </w:tcMar>
            <w:vAlign w:val="center"/>
          </w:tcPr>
          <w:p>
            <w:pPr>
              <w:widowControl/>
              <w:spacing w:line="240" w:lineRule="auto"/>
              <w:jc w:val="right"/>
              <w:textAlignment w:val="bottom"/>
              <w:rPr>
                <w:rFonts w:ascii="Times New Roman" w:hAnsi="Times New Roman" w:eastAsia="宋体"/>
                <w:kern w:val="0"/>
                <w:sz w:val="18"/>
                <w:szCs w:val="18"/>
              </w:rPr>
            </w:pPr>
            <w:r>
              <w:rPr>
                <w:rFonts w:ascii="Times New Roman" w:hAnsi="Times New Roman" w:eastAsia="宋体"/>
                <w:kern w:val="24"/>
                <w:sz w:val="18"/>
                <w:szCs w:val="18"/>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186" w:hRule="atLeast"/>
        </w:trPr>
        <w:tc>
          <w:tcPr>
            <w:tcW w:w="2232" w:type="dxa"/>
            <w:tcBorders>
              <w:top w:val="nil"/>
              <w:bottom w:val="nil"/>
            </w:tcBorders>
            <w:tcMar>
              <w:top w:w="15" w:type="dxa"/>
              <w:left w:w="15" w:type="dxa"/>
              <w:bottom w:w="0" w:type="dxa"/>
              <w:right w:w="15" w:type="dxa"/>
            </w:tcMar>
            <w:vAlign w:val="center"/>
          </w:tcPr>
          <w:p>
            <w:pPr>
              <w:widowControl/>
              <w:spacing w:line="240" w:lineRule="auto"/>
              <w:jc w:val="left"/>
              <w:textAlignment w:val="bottom"/>
              <w:rPr>
                <w:rFonts w:ascii="Times New Roman" w:hAnsi="Times New Roman" w:eastAsia="宋体"/>
                <w:kern w:val="0"/>
                <w:sz w:val="18"/>
                <w:szCs w:val="18"/>
              </w:rPr>
            </w:pPr>
            <w:r>
              <w:rPr>
                <w:rFonts w:ascii="Times New Roman" w:hAnsi="宋体" w:eastAsia="宋体"/>
                <w:kern w:val="24"/>
                <w:sz w:val="18"/>
                <w:szCs w:val="18"/>
              </w:rPr>
              <w:t>活动网点月均产能（千元）</w:t>
            </w:r>
          </w:p>
        </w:tc>
        <w:tc>
          <w:tcPr>
            <w:tcW w:w="562" w:type="dxa"/>
            <w:tcBorders>
              <w:top w:val="nil"/>
              <w:bottom w:val="nil"/>
            </w:tcBorders>
            <w:tcMar>
              <w:top w:w="15" w:type="dxa"/>
              <w:left w:w="15" w:type="dxa"/>
              <w:bottom w:w="0" w:type="dxa"/>
              <w:right w:w="15" w:type="dxa"/>
            </w:tcMar>
            <w:vAlign w:val="center"/>
          </w:tcPr>
          <w:p>
            <w:pPr>
              <w:widowControl/>
              <w:spacing w:line="240" w:lineRule="auto"/>
              <w:jc w:val="right"/>
              <w:textAlignment w:val="bottom"/>
              <w:rPr>
                <w:rFonts w:ascii="Times New Roman" w:hAnsi="Times New Roman" w:eastAsia="宋体"/>
                <w:kern w:val="0"/>
                <w:sz w:val="18"/>
                <w:szCs w:val="18"/>
              </w:rPr>
            </w:pPr>
            <w:r>
              <w:rPr>
                <w:rFonts w:ascii="Times New Roman" w:hAnsi="Times New Roman" w:eastAsia="宋体"/>
                <w:kern w:val="24"/>
                <w:sz w:val="18"/>
                <w:szCs w:val="18"/>
              </w:rPr>
              <w:t>263</w:t>
            </w:r>
          </w:p>
        </w:tc>
        <w:tc>
          <w:tcPr>
            <w:tcW w:w="562" w:type="dxa"/>
            <w:tcBorders>
              <w:top w:val="nil"/>
              <w:bottom w:val="nil"/>
            </w:tcBorders>
            <w:tcMar>
              <w:top w:w="15" w:type="dxa"/>
              <w:left w:w="15" w:type="dxa"/>
              <w:bottom w:w="0" w:type="dxa"/>
              <w:right w:w="15" w:type="dxa"/>
            </w:tcMar>
            <w:vAlign w:val="center"/>
          </w:tcPr>
          <w:p>
            <w:pPr>
              <w:widowControl/>
              <w:spacing w:line="240" w:lineRule="auto"/>
              <w:jc w:val="right"/>
              <w:textAlignment w:val="bottom"/>
              <w:rPr>
                <w:rFonts w:ascii="Times New Roman" w:hAnsi="Times New Roman" w:eastAsia="宋体"/>
                <w:kern w:val="0"/>
                <w:sz w:val="18"/>
                <w:szCs w:val="18"/>
              </w:rPr>
            </w:pPr>
            <w:r>
              <w:rPr>
                <w:rFonts w:ascii="Times New Roman" w:hAnsi="Times New Roman" w:eastAsia="宋体"/>
                <w:kern w:val="24"/>
                <w:sz w:val="18"/>
                <w:szCs w:val="18"/>
              </w:rPr>
              <w:t>302</w:t>
            </w:r>
          </w:p>
        </w:tc>
        <w:tc>
          <w:tcPr>
            <w:tcW w:w="562" w:type="dxa"/>
            <w:tcBorders>
              <w:top w:val="nil"/>
              <w:bottom w:val="nil"/>
            </w:tcBorders>
            <w:tcMar>
              <w:top w:w="15" w:type="dxa"/>
              <w:left w:w="15" w:type="dxa"/>
              <w:bottom w:w="0" w:type="dxa"/>
              <w:right w:w="15" w:type="dxa"/>
            </w:tcMar>
            <w:vAlign w:val="center"/>
          </w:tcPr>
          <w:p>
            <w:pPr>
              <w:widowControl/>
              <w:spacing w:line="240" w:lineRule="auto"/>
              <w:jc w:val="right"/>
              <w:textAlignment w:val="bottom"/>
              <w:rPr>
                <w:rFonts w:ascii="Times New Roman" w:hAnsi="Times New Roman" w:eastAsia="宋体"/>
                <w:kern w:val="0"/>
                <w:sz w:val="18"/>
                <w:szCs w:val="18"/>
              </w:rPr>
            </w:pPr>
            <w:r>
              <w:rPr>
                <w:rFonts w:ascii="Times New Roman" w:hAnsi="Times New Roman" w:eastAsia="宋体"/>
                <w:kern w:val="24"/>
                <w:sz w:val="18"/>
                <w:szCs w:val="18"/>
              </w:rPr>
              <w:t>329</w:t>
            </w:r>
          </w:p>
        </w:tc>
        <w:tc>
          <w:tcPr>
            <w:tcW w:w="562" w:type="dxa"/>
            <w:tcBorders>
              <w:top w:val="nil"/>
              <w:bottom w:val="nil"/>
            </w:tcBorders>
            <w:tcMar>
              <w:top w:w="15" w:type="dxa"/>
              <w:left w:w="15" w:type="dxa"/>
              <w:bottom w:w="0" w:type="dxa"/>
              <w:right w:w="15" w:type="dxa"/>
            </w:tcMar>
            <w:vAlign w:val="center"/>
          </w:tcPr>
          <w:p>
            <w:pPr>
              <w:widowControl/>
              <w:spacing w:line="240" w:lineRule="auto"/>
              <w:jc w:val="right"/>
              <w:textAlignment w:val="bottom"/>
              <w:rPr>
                <w:rFonts w:ascii="Times New Roman" w:hAnsi="Times New Roman" w:eastAsia="宋体"/>
                <w:kern w:val="0"/>
                <w:sz w:val="18"/>
                <w:szCs w:val="18"/>
              </w:rPr>
            </w:pPr>
            <w:r>
              <w:rPr>
                <w:rFonts w:ascii="Times New Roman" w:hAnsi="Times New Roman" w:eastAsia="宋体"/>
                <w:kern w:val="24"/>
                <w:sz w:val="18"/>
                <w:szCs w:val="18"/>
              </w:rPr>
              <w:t>344</w:t>
            </w:r>
          </w:p>
        </w:tc>
        <w:tc>
          <w:tcPr>
            <w:tcW w:w="562" w:type="dxa"/>
            <w:tcBorders>
              <w:top w:val="nil"/>
              <w:bottom w:val="nil"/>
            </w:tcBorders>
            <w:tcMar>
              <w:top w:w="15" w:type="dxa"/>
              <w:left w:w="15" w:type="dxa"/>
              <w:bottom w:w="0" w:type="dxa"/>
              <w:right w:w="15" w:type="dxa"/>
            </w:tcMar>
            <w:vAlign w:val="center"/>
          </w:tcPr>
          <w:p>
            <w:pPr>
              <w:widowControl/>
              <w:spacing w:line="240" w:lineRule="auto"/>
              <w:jc w:val="right"/>
              <w:textAlignment w:val="bottom"/>
              <w:rPr>
                <w:rFonts w:ascii="Times New Roman" w:hAnsi="Times New Roman" w:eastAsia="宋体"/>
                <w:kern w:val="0"/>
                <w:sz w:val="18"/>
                <w:szCs w:val="18"/>
              </w:rPr>
            </w:pPr>
            <w:r>
              <w:rPr>
                <w:rFonts w:ascii="Times New Roman" w:hAnsi="Times New Roman" w:eastAsia="宋体"/>
                <w:kern w:val="24"/>
                <w:sz w:val="18"/>
                <w:szCs w:val="18"/>
              </w:rPr>
              <w:t>361</w:t>
            </w:r>
          </w:p>
        </w:tc>
        <w:tc>
          <w:tcPr>
            <w:tcW w:w="562" w:type="dxa"/>
            <w:tcBorders>
              <w:top w:val="nil"/>
              <w:bottom w:val="nil"/>
            </w:tcBorders>
            <w:tcMar>
              <w:top w:w="15" w:type="dxa"/>
              <w:left w:w="15" w:type="dxa"/>
              <w:bottom w:w="0" w:type="dxa"/>
              <w:right w:w="15" w:type="dxa"/>
            </w:tcMar>
            <w:vAlign w:val="center"/>
          </w:tcPr>
          <w:p>
            <w:pPr>
              <w:widowControl/>
              <w:spacing w:line="240" w:lineRule="auto"/>
              <w:jc w:val="right"/>
              <w:textAlignment w:val="bottom"/>
              <w:rPr>
                <w:rFonts w:ascii="Times New Roman" w:hAnsi="Times New Roman" w:eastAsia="宋体"/>
                <w:kern w:val="0"/>
                <w:sz w:val="18"/>
                <w:szCs w:val="18"/>
              </w:rPr>
            </w:pPr>
            <w:r>
              <w:rPr>
                <w:rFonts w:ascii="Times New Roman" w:hAnsi="Times New Roman" w:eastAsia="宋体"/>
                <w:kern w:val="24"/>
                <w:sz w:val="18"/>
                <w:szCs w:val="18"/>
              </w:rPr>
              <w:t>376</w:t>
            </w:r>
          </w:p>
        </w:tc>
        <w:tc>
          <w:tcPr>
            <w:tcW w:w="562" w:type="dxa"/>
            <w:tcBorders>
              <w:top w:val="nil"/>
              <w:bottom w:val="nil"/>
            </w:tcBorders>
            <w:tcMar>
              <w:top w:w="15" w:type="dxa"/>
              <w:left w:w="15" w:type="dxa"/>
              <w:bottom w:w="0" w:type="dxa"/>
              <w:right w:w="15" w:type="dxa"/>
            </w:tcMar>
            <w:vAlign w:val="center"/>
          </w:tcPr>
          <w:p>
            <w:pPr>
              <w:widowControl/>
              <w:spacing w:line="240" w:lineRule="auto"/>
              <w:jc w:val="right"/>
              <w:textAlignment w:val="bottom"/>
              <w:rPr>
                <w:rFonts w:ascii="Times New Roman" w:hAnsi="Times New Roman" w:eastAsia="宋体"/>
                <w:kern w:val="0"/>
                <w:sz w:val="18"/>
                <w:szCs w:val="18"/>
              </w:rPr>
            </w:pPr>
            <w:r>
              <w:rPr>
                <w:rFonts w:ascii="Times New Roman" w:hAnsi="Times New Roman" w:eastAsia="宋体"/>
                <w:kern w:val="24"/>
                <w:sz w:val="18"/>
                <w:szCs w:val="18"/>
              </w:rPr>
              <w:t>392</w:t>
            </w:r>
          </w:p>
        </w:tc>
        <w:tc>
          <w:tcPr>
            <w:tcW w:w="562" w:type="dxa"/>
            <w:tcBorders>
              <w:top w:val="nil"/>
              <w:bottom w:val="nil"/>
            </w:tcBorders>
            <w:tcMar>
              <w:top w:w="15" w:type="dxa"/>
              <w:left w:w="15" w:type="dxa"/>
              <w:bottom w:w="0" w:type="dxa"/>
              <w:right w:w="15" w:type="dxa"/>
            </w:tcMar>
            <w:vAlign w:val="center"/>
          </w:tcPr>
          <w:p>
            <w:pPr>
              <w:widowControl/>
              <w:spacing w:line="240" w:lineRule="auto"/>
              <w:jc w:val="right"/>
              <w:textAlignment w:val="bottom"/>
              <w:rPr>
                <w:rFonts w:ascii="Times New Roman" w:hAnsi="Times New Roman" w:eastAsia="宋体"/>
                <w:kern w:val="0"/>
                <w:sz w:val="18"/>
                <w:szCs w:val="18"/>
              </w:rPr>
            </w:pPr>
            <w:r>
              <w:rPr>
                <w:rFonts w:ascii="Times New Roman" w:hAnsi="Times New Roman" w:eastAsia="宋体"/>
                <w:kern w:val="24"/>
                <w:sz w:val="18"/>
                <w:szCs w:val="18"/>
              </w:rPr>
              <w:t>404</w:t>
            </w:r>
          </w:p>
        </w:tc>
        <w:tc>
          <w:tcPr>
            <w:tcW w:w="562" w:type="dxa"/>
            <w:tcBorders>
              <w:top w:val="nil"/>
              <w:bottom w:val="nil"/>
            </w:tcBorders>
            <w:tcMar>
              <w:top w:w="15" w:type="dxa"/>
              <w:left w:w="15" w:type="dxa"/>
              <w:bottom w:w="0" w:type="dxa"/>
              <w:right w:w="15" w:type="dxa"/>
            </w:tcMar>
            <w:vAlign w:val="center"/>
          </w:tcPr>
          <w:p>
            <w:pPr>
              <w:widowControl/>
              <w:spacing w:line="240" w:lineRule="auto"/>
              <w:jc w:val="right"/>
              <w:textAlignment w:val="bottom"/>
              <w:rPr>
                <w:rFonts w:ascii="Times New Roman" w:hAnsi="Times New Roman" w:eastAsia="宋体"/>
                <w:kern w:val="0"/>
                <w:sz w:val="18"/>
                <w:szCs w:val="18"/>
              </w:rPr>
            </w:pPr>
            <w:r>
              <w:rPr>
                <w:rFonts w:ascii="Times New Roman" w:hAnsi="Times New Roman" w:eastAsia="宋体"/>
                <w:kern w:val="24"/>
                <w:sz w:val="18"/>
                <w:szCs w:val="18"/>
              </w:rPr>
              <w:t>417</w:t>
            </w:r>
          </w:p>
        </w:tc>
        <w:tc>
          <w:tcPr>
            <w:tcW w:w="562" w:type="dxa"/>
            <w:tcBorders>
              <w:top w:val="nil"/>
              <w:bottom w:val="nil"/>
            </w:tcBorders>
            <w:tcMar>
              <w:top w:w="15" w:type="dxa"/>
              <w:left w:w="15" w:type="dxa"/>
              <w:bottom w:w="0" w:type="dxa"/>
              <w:right w:w="15" w:type="dxa"/>
            </w:tcMar>
            <w:vAlign w:val="center"/>
          </w:tcPr>
          <w:p>
            <w:pPr>
              <w:widowControl/>
              <w:spacing w:line="240" w:lineRule="auto"/>
              <w:jc w:val="right"/>
              <w:textAlignment w:val="bottom"/>
              <w:rPr>
                <w:rFonts w:ascii="Times New Roman" w:hAnsi="Times New Roman" w:eastAsia="宋体"/>
                <w:kern w:val="0"/>
                <w:sz w:val="18"/>
                <w:szCs w:val="18"/>
              </w:rPr>
            </w:pPr>
            <w:r>
              <w:rPr>
                <w:rFonts w:ascii="Times New Roman" w:hAnsi="Times New Roman" w:eastAsia="宋体"/>
                <w:kern w:val="24"/>
                <w:sz w:val="18"/>
                <w:szCs w:val="18"/>
              </w:rPr>
              <w:t>427</w:t>
            </w:r>
          </w:p>
        </w:tc>
        <w:tc>
          <w:tcPr>
            <w:tcW w:w="562" w:type="dxa"/>
            <w:tcBorders>
              <w:top w:val="nil"/>
              <w:bottom w:val="nil"/>
            </w:tcBorders>
            <w:tcMar>
              <w:top w:w="15" w:type="dxa"/>
              <w:left w:w="15" w:type="dxa"/>
              <w:bottom w:w="0" w:type="dxa"/>
              <w:right w:w="15" w:type="dxa"/>
            </w:tcMar>
            <w:vAlign w:val="center"/>
          </w:tcPr>
          <w:p>
            <w:pPr>
              <w:widowControl/>
              <w:spacing w:line="240" w:lineRule="auto"/>
              <w:jc w:val="right"/>
              <w:textAlignment w:val="bottom"/>
              <w:rPr>
                <w:rFonts w:ascii="Times New Roman" w:hAnsi="Times New Roman" w:eastAsia="宋体"/>
                <w:kern w:val="0"/>
                <w:sz w:val="18"/>
                <w:szCs w:val="18"/>
              </w:rPr>
            </w:pPr>
            <w:r>
              <w:rPr>
                <w:rFonts w:ascii="Times New Roman" w:hAnsi="Times New Roman" w:eastAsia="宋体"/>
                <w:kern w:val="24"/>
                <w:sz w:val="18"/>
                <w:szCs w:val="18"/>
              </w:rPr>
              <w:t>436</w:t>
            </w:r>
          </w:p>
        </w:tc>
        <w:tc>
          <w:tcPr>
            <w:tcW w:w="562" w:type="dxa"/>
            <w:tcBorders>
              <w:top w:val="nil"/>
              <w:bottom w:val="nil"/>
            </w:tcBorders>
            <w:tcMar>
              <w:top w:w="15" w:type="dxa"/>
              <w:left w:w="15" w:type="dxa"/>
              <w:bottom w:w="0" w:type="dxa"/>
              <w:right w:w="15" w:type="dxa"/>
            </w:tcMar>
            <w:vAlign w:val="center"/>
          </w:tcPr>
          <w:p>
            <w:pPr>
              <w:widowControl/>
              <w:spacing w:line="240" w:lineRule="auto"/>
              <w:jc w:val="right"/>
              <w:textAlignment w:val="bottom"/>
              <w:rPr>
                <w:rFonts w:ascii="Times New Roman" w:hAnsi="Times New Roman" w:eastAsia="宋体"/>
                <w:kern w:val="0"/>
                <w:sz w:val="18"/>
                <w:szCs w:val="18"/>
              </w:rPr>
            </w:pPr>
            <w:r>
              <w:rPr>
                <w:rFonts w:ascii="Times New Roman" w:hAnsi="Times New Roman" w:eastAsia="宋体"/>
                <w:kern w:val="24"/>
                <w:sz w:val="18"/>
                <w:szCs w:val="18"/>
              </w:rPr>
              <w:t>441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186" w:hRule="atLeast"/>
        </w:trPr>
        <w:tc>
          <w:tcPr>
            <w:tcW w:w="2232" w:type="dxa"/>
            <w:tcBorders>
              <w:top w:val="nil"/>
              <w:bottom w:val="nil"/>
            </w:tcBorders>
            <w:tcMar>
              <w:top w:w="15" w:type="dxa"/>
              <w:left w:w="15" w:type="dxa"/>
              <w:bottom w:w="0" w:type="dxa"/>
              <w:right w:w="15" w:type="dxa"/>
            </w:tcMar>
            <w:vAlign w:val="center"/>
          </w:tcPr>
          <w:p>
            <w:pPr>
              <w:widowControl/>
              <w:spacing w:line="240" w:lineRule="auto"/>
              <w:jc w:val="left"/>
              <w:textAlignment w:val="bottom"/>
              <w:rPr>
                <w:rFonts w:ascii="Times New Roman" w:hAnsi="Times New Roman" w:eastAsia="宋体"/>
                <w:kern w:val="0"/>
                <w:sz w:val="18"/>
                <w:szCs w:val="18"/>
              </w:rPr>
            </w:pPr>
            <w:r>
              <w:rPr>
                <w:rFonts w:ascii="Times New Roman" w:hAnsi="宋体" w:eastAsia="宋体"/>
                <w:kern w:val="24"/>
                <w:sz w:val="18"/>
                <w:szCs w:val="18"/>
              </w:rPr>
              <w:t>网均产能增长率</w:t>
            </w:r>
          </w:p>
        </w:tc>
        <w:tc>
          <w:tcPr>
            <w:tcW w:w="562" w:type="dxa"/>
            <w:tcBorders>
              <w:top w:val="nil"/>
              <w:bottom w:val="nil"/>
            </w:tcBorders>
            <w:tcMar>
              <w:top w:w="15" w:type="dxa"/>
              <w:left w:w="15" w:type="dxa"/>
              <w:bottom w:w="0" w:type="dxa"/>
              <w:right w:w="15" w:type="dxa"/>
            </w:tcMar>
            <w:vAlign w:val="center"/>
          </w:tcPr>
          <w:p>
            <w:pPr>
              <w:widowControl/>
              <w:spacing w:line="240" w:lineRule="auto"/>
              <w:jc w:val="right"/>
              <w:rPr>
                <w:rFonts w:ascii="Times New Roman" w:hAnsi="Times New Roman" w:eastAsia="宋体"/>
                <w:kern w:val="0"/>
                <w:sz w:val="18"/>
                <w:szCs w:val="18"/>
              </w:rPr>
            </w:pPr>
          </w:p>
        </w:tc>
        <w:tc>
          <w:tcPr>
            <w:tcW w:w="562" w:type="dxa"/>
            <w:tcBorders>
              <w:top w:val="nil"/>
              <w:bottom w:val="nil"/>
            </w:tcBorders>
            <w:tcMar>
              <w:top w:w="15" w:type="dxa"/>
              <w:left w:w="15" w:type="dxa"/>
              <w:bottom w:w="0" w:type="dxa"/>
              <w:right w:w="15" w:type="dxa"/>
            </w:tcMar>
            <w:vAlign w:val="center"/>
          </w:tcPr>
          <w:p>
            <w:pPr>
              <w:widowControl/>
              <w:spacing w:line="240" w:lineRule="auto"/>
              <w:jc w:val="right"/>
              <w:textAlignment w:val="bottom"/>
              <w:rPr>
                <w:rFonts w:ascii="Times New Roman" w:hAnsi="Times New Roman" w:eastAsia="宋体"/>
                <w:kern w:val="0"/>
                <w:sz w:val="18"/>
                <w:szCs w:val="18"/>
              </w:rPr>
            </w:pPr>
            <w:r>
              <w:rPr>
                <w:rFonts w:ascii="Times New Roman" w:hAnsi="Times New Roman" w:eastAsia="宋体"/>
                <w:kern w:val="24"/>
                <w:sz w:val="18"/>
                <w:szCs w:val="18"/>
              </w:rPr>
              <w:t>15%</w:t>
            </w:r>
          </w:p>
        </w:tc>
        <w:tc>
          <w:tcPr>
            <w:tcW w:w="562" w:type="dxa"/>
            <w:tcBorders>
              <w:top w:val="nil"/>
              <w:bottom w:val="nil"/>
            </w:tcBorders>
            <w:tcMar>
              <w:top w:w="15" w:type="dxa"/>
              <w:left w:w="15" w:type="dxa"/>
              <w:bottom w:w="0" w:type="dxa"/>
              <w:right w:w="15" w:type="dxa"/>
            </w:tcMar>
            <w:vAlign w:val="center"/>
          </w:tcPr>
          <w:p>
            <w:pPr>
              <w:widowControl/>
              <w:spacing w:line="240" w:lineRule="auto"/>
              <w:jc w:val="right"/>
              <w:textAlignment w:val="bottom"/>
              <w:rPr>
                <w:rFonts w:ascii="Times New Roman" w:hAnsi="Times New Roman" w:eastAsia="宋体"/>
                <w:kern w:val="0"/>
                <w:sz w:val="18"/>
                <w:szCs w:val="18"/>
              </w:rPr>
            </w:pPr>
            <w:r>
              <w:rPr>
                <w:rFonts w:ascii="Times New Roman" w:hAnsi="Times New Roman" w:eastAsia="宋体"/>
                <w:kern w:val="24"/>
                <w:sz w:val="18"/>
                <w:szCs w:val="18"/>
              </w:rPr>
              <w:t>9%</w:t>
            </w:r>
          </w:p>
        </w:tc>
        <w:tc>
          <w:tcPr>
            <w:tcW w:w="562" w:type="dxa"/>
            <w:tcBorders>
              <w:top w:val="nil"/>
              <w:bottom w:val="nil"/>
            </w:tcBorders>
            <w:tcMar>
              <w:top w:w="15" w:type="dxa"/>
              <w:left w:w="15" w:type="dxa"/>
              <w:bottom w:w="0" w:type="dxa"/>
              <w:right w:w="15" w:type="dxa"/>
            </w:tcMar>
            <w:vAlign w:val="center"/>
          </w:tcPr>
          <w:p>
            <w:pPr>
              <w:widowControl/>
              <w:spacing w:line="240" w:lineRule="auto"/>
              <w:jc w:val="right"/>
              <w:textAlignment w:val="bottom"/>
              <w:rPr>
                <w:rFonts w:ascii="Times New Roman" w:hAnsi="Times New Roman" w:eastAsia="宋体"/>
                <w:kern w:val="0"/>
                <w:sz w:val="18"/>
                <w:szCs w:val="18"/>
              </w:rPr>
            </w:pPr>
            <w:r>
              <w:rPr>
                <w:rFonts w:ascii="Times New Roman" w:hAnsi="Times New Roman" w:eastAsia="宋体"/>
                <w:kern w:val="24"/>
                <w:sz w:val="18"/>
                <w:szCs w:val="18"/>
              </w:rPr>
              <w:t>4%</w:t>
            </w:r>
          </w:p>
        </w:tc>
        <w:tc>
          <w:tcPr>
            <w:tcW w:w="562" w:type="dxa"/>
            <w:tcBorders>
              <w:top w:val="nil"/>
              <w:bottom w:val="nil"/>
            </w:tcBorders>
            <w:tcMar>
              <w:top w:w="15" w:type="dxa"/>
              <w:left w:w="15" w:type="dxa"/>
              <w:bottom w:w="0" w:type="dxa"/>
              <w:right w:w="15" w:type="dxa"/>
            </w:tcMar>
            <w:vAlign w:val="center"/>
          </w:tcPr>
          <w:p>
            <w:pPr>
              <w:widowControl/>
              <w:spacing w:line="240" w:lineRule="auto"/>
              <w:jc w:val="right"/>
              <w:textAlignment w:val="bottom"/>
              <w:rPr>
                <w:rFonts w:ascii="Times New Roman" w:hAnsi="Times New Roman" w:eastAsia="宋体"/>
                <w:kern w:val="0"/>
                <w:sz w:val="18"/>
                <w:szCs w:val="18"/>
              </w:rPr>
            </w:pPr>
            <w:r>
              <w:rPr>
                <w:rFonts w:ascii="Times New Roman" w:hAnsi="Times New Roman" w:eastAsia="宋体"/>
                <w:kern w:val="24"/>
                <w:sz w:val="18"/>
                <w:szCs w:val="18"/>
              </w:rPr>
              <w:t>5%</w:t>
            </w:r>
          </w:p>
        </w:tc>
        <w:tc>
          <w:tcPr>
            <w:tcW w:w="562" w:type="dxa"/>
            <w:tcBorders>
              <w:top w:val="nil"/>
              <w:bottom w:val="nil"/>
            </w:tcBorders>
            <w:tcMar>
              <w:top w:w="15" w:type="dxa"/>
              <w:left w:w="15" w:type="dxa"/>
              <w:bottom w:w="0" w:type="dxa"/>
              <w:right w:w="15" w:type="dxa"/>
            </w:tcMar>
            <w:vAlign w:val="center"/>
          </w:tcPr>
          <w:p>
            <w:pPr>
              <w:widowControl/>
              <w:spacing w:line="240" w:lineRule="auto"/>
              <w:jc w:val="right"/>
              <w:textAlignment w:val="bottom"/>
              <w:rPr>
                <w:rFonts w:ascii="Times New Roman" w:hAnsi="Times New Roman" w:eastAsia="宋体"/>
                <w:kern w:val="0"/>
                <w:sz w:val="18"/>
                <w:szCs w:val="18"/>
              </w:rPr>
            </w:pPr>
            <w:r>
              <w:rPr>
                <w:rFonts w:ascii="Times New Roman" w:hAnsi="Times New Roman" w:eastAsia="宋体"/>
                <w:kern w:val="24"/>
                <w:sz w:val="18"/>
                <w:szCs w:val="18"/>
              </w:rPr>
              <w:t>4%</w:t>
            </w:r>
          </w:p>
        </w:tc>
        <w:tc>
          <w:tcPr>
            <w:tcW w:w="562" w:type="dxa"/>
            <w:tcBorders>
              <w:top w:val="nil"/>
              <w:bottom w:val="nil"/>
            </w:tcBorders>
            <w:tcMar>
              <w:top w:w="15" w:type="dxa"/>
              <w:left w:w="15" w:type="dxa"/>
              <w:bottom w:w="0" w:type="dxa"/>
              <w:right w:w="15" w:type="dxa"/>
            </w:tcMar>
            <w:vAlign w:val="center"/>
          </w:tcPr>
          <w:p>
            <w:pPr>
              <w:widowControl/>
              <w:spacing w:line="240" w:lineRule="auto"/>
              <w:jc w:val="right"/>
              <w:textAlignment w:val="bottom"/>
              <w:rPr>
                <w:rFonts w:ascii="Times New Roman" w:hAnsi="Times New Roman" w:eastAsia="宋体"/>
                <w:kern w:val="0"/>
                <w:sz w:val="18"/>
                <w:szCs w:val="18"/>
              </w:rPr>
            </w:pPr>
            <w:r>
              <w:rPr>
                <w:rFonts w:ascii="Times New Roman" w:hAnsi="Times New Roman" w:eastAsia="宋体"/>
                <w:kern w:val="24"/>
                <w:sz w:val="18"/>
                <w:szCs w:val="18"/>
              </w:rPr>
              <w:t>4%</w:t>
            </w:r>
          </w:p>
        </w:tc>
        <w:tc>
          <w:tcPr>
            <w:tcW w:w="562" w:type="dxa"/>
            <w:tcBorders>
              <w:top w:val="nil"/>
              <w:bottom w:val="nil"/>
            </w:tcBorders>
            <w:tcMar>
              <w:top w:w="15" w:type="dxa"/>
              <w:left w:w="15" w:type="dxa"/>
              <w:bottom w:w="0" w:type="dxa"/>
              <w:right w:w="15" w:type="dxa"/>
            </w:tcMar>
            <w:vAlign w:val="center"/>
          </w:tcPr>
          <w:p>
            <w:pPr>
              <w:widowControl/>
              <w:spacing w:line="240" w:lineRule="auto"/>
              <w:jc w:val="right"/>
              <w:textAlignment w:val="bottom"/>
              <w:rPr>
                <w:rFonts w:ascii="Times New Roman" w:hAnsi="Times New Roman" w:eastAsia="宋体"/>
                <w:kern w:val="0"/>
                <w:sz w:val="18"/>
                <w:szCs w:val="18"/>
              </w:rPr>
            </w:pPr>
            <w:r>
              <w:rPr>
                <w:rFonts w:ascii="Times New Roman" w:hAnsi="Times New Roman" w:eastAsia="宋体"/>
                <w:kern w:val="24"/>
                <w:sz w:val="18"/>
                <w:szCs w:val="18"/>
              </w:rPr>
              <w:t>3%</w:t>
            </w:r>
          </w:p>
        </w:tc>
        <w:tc>
          <w:tcPr>
            <w:tcW w:w="562" w:type="dxa"/>
            <w:tcBorders>
              <w:top w:val="nil"/>
              <w:bottom w:val="nil"/>
            </w:tcBorders>
            <w:tcMar>
              <w:top w:w="15" w:type="dxa"/>
              <w:left w:w="15" w:type="dxa"/>
              <w:bottom w:w="0" w:type="dxa"/>
              <w:right w:w="15" w:type="dxa"/>
            </w:tcMar>
            <w:vAlign w:val="center"/>
          </w:tcPr>
          <w:p>
            <w:pPr>
              <w:widowControl/>
              <w:spacing w:line="240" w:lineRule="auto"/>
              <w:jc w:val="right"/>
              <w:textAlignment w:val="bottom"/>
              <w:rPr>
                <w:rFonts w:ascii="Times New Roman" w:hAnsi="Times New Roman" w:eastAsia="宋体"/>
                <w:kern w:val="0"/>
                <w:sz w:val="18"/>
                <w:szCs w:val="18"/>
              </w:rPr>
            </w:pPr>
            <w:r>
              <w:rPr>
                <w:rFonts w:ascii="Times New Roman" w:hAnsi="Times New Roman" w:eastAsia="宋体"/>
                <w:kern w:val="24"/>
                <w:sz w:val="18"/>
                <w:szCs w:val="18"/>
              </w:rPr>
              <w:t>3%</w:t>
            </w:r>
          </w:p>
        </w:tc>
        <w:tc>
          <w:tcPr>
            <w:tcW w:w="562" w:type="dxa"/>
            <w:tcBorders>
              <w:top w:val="nil"/>
              <w:bottom w:val="nil"/>
            </w:tcBorders>
            <w:tcMar>
              <w:top w:w="15" w:type="dxa"/>
              <w:left w:w="15" w:type="dxa"/>
              <w:bottom w:w="0" w:type="dxa"/>
              <w:right w:w="15" w:type="dxa"/>
            </w:tcMar>
            <w:vAlign w:val="center"/>
          </w:tcPr>
          <w:p>
            <w:pPr>
              <w:widowControl/>
              <w:spacing w:line="240" w:lineRule="auto"/>
              <w:jc w:val="right"/>
              <w:textAlignment w:val="bottom"/>
              <w:rPr>
                <w:rFonts w:ascii="Times New Roman" w:hAnsi="Times New Roman" w:eastAsia="宋体"/>
                <w:kern w:val="0"/>
                <w:sz w:val="18"/>
                <w:szCs w:val="18"/>
              </w:rPr>
            </w:pPr>
            <w:r>
              <w:rPr>
                <w:rFonts w:ascii="Times New Roman" w:hAnsi="Times New Roman" w:eastAsia="宋体"/>
                <w:kern w:val="24"/>
                <w:sz w:val="18"/>
                <w:szCs w:val="18"/>
              </w:rPr>
              <w:t>2%</w:t>
            </w:r>
          </w:p>
        </w:tc>
        <w:tc>
          <w:tcPr>
            <w:tcW w:w="562" w:type="dxa"/>
            <w:tcBorders>
              <w:top w:val="nil"/>
              <w:bottom w:val="nil"/>
            </w:tcBorders>
            <w:tcMar>
              <w:top w:w="15" w:type="dxa"/>
              <w:left w:w="15" w:type="dxa"/>
              <w:bottom w:w="0" w:type="dxa"/>
              <w:right w:w="15" w:type="dxa"/>
            </w:tcMar>
            <w:vAlign w:val="center"/>
          </w:tcPr>
          <w:p>
            <w:pPr>
              <w:widowControl/>
              <w:spacing w:line="240" w:lineRule="auto"/>
              <w:jc w:val="right"/>
              <w:textAlignment w:val="bottom"/>
              <w:rPr>
                <w:rFonts w:ascii="Times New Roman" w:hAnsi="Times New Roman" w:eastAsia="宋体"/>
                <w:kern w:val="0"/>
                <w:sz w:val="18"/>
                <w:szCs w:val="18"/>
              </w:rPr>
            </w:pPr>
            <w:r>
              <w:rPr>
                <w:rFonts w:ascii="Times New Roman" w:hAnsi="Times New Roman" w:eastAsia="宋体"/>
                <w:kern w:val="24"/>
                <w:sz w:val="18"/>
                <w:szCs w:val="18"/>
              </w:rPr>
              <w:t>2%</w:t>
            </w:r>
          </w:p>
        </w:tc>
        <w:tc>
          <w:tcPr>
            <w:tcW w:w="562" w:type="dxa"/>
            <w:tcBorders>
              <w:top w:val="nil"/>
              <w:bottom w:val="nil"/>
            </w:tcBorders>
            <w:tcMar>
              <w:top w:w="15" w:type="dxa"/>
              <w:left w:w="15" w:type="dxa"/>
              <w:bottom w:w="0" w:type="dxa"/>
              <w:right w:w="15" w:type="dxa"/>
            </w:tcMar>
            <w:vAlign w:val="center"/>
          </w:tcPr>
          <w:p>
            <w:pPr>
              <w:widowControl/>
              <w:spacing w:line="240" w:lineRule="auto"/>
              <w:jc w:val="right"/>
              <w:textAlignment w:val="bottom"/>
              <w:rPr>
                <w:rFonts w:ascii="Times New Roman" w:hAnsi="Times New Roman" w:eastAsia="宋体"/>
                <w:kern w:val="0"/>
                <w:sz w:val="18"/>
                <w:szCs w:val="18"/>
              </w:rPr>
            </w:pPr>
            <w:r>
              <w:rPr>
                <w:rFonts w:ascii="Times New Roman" w:hAnsi="Times New Roman" w:eastAsia="宋体"/>
                <w:kern w:val="24"/>
                <w:sz w:val="18"/>
                <w:szCs w:val="18"/>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186" w:hRule="atLeast"/>
        </w:trPr>
        <w:tc>
          <w:tcPr>
            <w:tcW w:w="2232" w:type="dxa"/>
            <w:tcBorders>
              <w:top w:val="nil"/>
              <w:bottom w:val="single" w:color="auto" w:sz="4" w:space="0"/>
            </w:tcBorders>
            <w:tcMar>
              <w:top w:w="15" w:type="dxa"/>
              <w:left w:w="15" w:type="dxa"/>
              <w:bottom w:w="0" w:type="dxa"/>
              <w:right w:w="15" w:type="dxa"/>
            </w:tcMar>
            <w:vAlign w:val="center"/>
          </w:tcPr>
          <w:p>
            <w:pPr>
              <w:widowControl/>
              <w:spacing w:line="240" w:lineRule="auto"/>
              <w:jc w:val="left"/>
              <w:textAlignment w:val="bottom"/>
              <w:rPr>
                <w:rFonts w:ascii="Times New Roman" w:hAnsi="Times New Roman" w:eastAsia="宋体"/>
                <w:kern w:val="0"/>
                <w:sz w:val="18"/>
                <w:szCs w:val="18"/>
              </w:rPr>
            </w:pPr>
            <w:r>
              <w:rPr>
                <w:rFonts w:ascii="Times New Roman" w:hAnsi="Times New Roman" w:eastAsia="宋体"/>
                <w:kern w:val="24"/>
                <w:sz w:val="18"/>
                <w:szCs w:val="18"/>
              </w:rPr>
              <w:t>ANP</w:t>
            </w:r>
            <w:r>
              <w:rPr>
                <w:rFonts w:ascii="Times New Roman" w:hAnsi="宋体" w:eastAsia="宋体"/>
                <w:kern w:val="24"/>
                <w:sz w:val="18"/>
                <w:szCs w:val="18"/>
              </w:rPr>
              <w:t>（百万元）</w:t>
            </w:r>
          </w:p>
        </w:tc>
        <w:tc>
          <w:tcPr>
            <w:tcW w:w="562" w:type="dxa"/>
            <w:tcBorders>
              <w:top w:val="nil"/>
              <w:bottom w:val="single" w:color="auto" w:sz="4" w:space="0"/>
            </w:tcBorders>
            <w:tcMar>
              <w:top w:w="15" w:type="dxa"/>
              <w:left w:w="15" w:type="dxa"/>
              <w:bottom w:w="0" w:type="dxa"/>
              <w:right w:w="15" w:type="dxa"/>
            </w:tcMar>
            <w:vAlign w:val="center"/>
          </w:tcPr>
          <w:p>
            <w:pPr>
              <w:widowControl/>
              <w:spacing w:line="240" w:lineRule="auto"/>
              <w:jc w:val="right"/>
              <w:textAlignment w:val="bottom"/>
              <w:rPr>
                <w:rFonts w:ascii="Times New Roman" w:hAnsi="Times New Roman" w:eastAsia="宋体"/>
                <w:kern w:val="0"/>
                <w:sz w:val="18"/>
                <w:szCs w:val="18"/>
              </w:rPr>
            </w:pPr>
            <w:r>
              <w:rPr>
                <w:rFonts w:ascii="Times New Roman" w:hAnsi="Times New Roman" w:eastAsia="宋体"/>
                <w:kern w:val="24"/>
                <w:sz w:val="18"/>
                <w:szCs w:val="18"/>
              </w:rPr>
              <w:t>384</w:t>
            </w:r>
          </w:p>
        </w:tc>
        <w:tc>
          <w:tcPr>
            <w:tcW w:w="562" w:type="dxa"/>
            <w:tcBorders>
              <w:top w:val="nil"/>
              <w:bottom w:val="single" w:color="auto" w:sz="4" w:space="0"/>
            </w:tcBorders>
            <w:tcMar>
              <w:top w:w="15" w:type="dxa"/>
              <w:left w:w="15" w:type="dxa"/>
              <w:bottom w:w="0" w:type="dxa"/>
              <w:right w:w="15" w:type="dxa"/>
            </w:tcMar>
            <w:vAlign w:val="center"/>
          </w:tcPr>
          <w:p>
            <w:pPr>
              <w:widowControl/>
              <w:spacing w:line="240" w:lineRule="auto"/>
              <w:jc w:val="right"/>
              <w:textAlignment w:val="bottom"/>
              <w:rPr>
                <w:rFonts w:ascii="Times New Roman" w:hAnsi="Times New Roman" w:eastAsia="宋体"/>
                <w:kern w:val="0"/>
                <w:sz w:val="18"/>
                <w:szCs w:val="18"/>
              </w:rPr>
            </w:pPr>
            <w:r>
              <w:rPr>
                <w:rFonts w:ascii="Times New Roman" w:hAnsi="Times New Roman" w:eastAsia="宋体"/>
                <w:kern w:val="24"/>
                <w:sz w:val="18"/>
                <w:szCs w:val="18"/>
              </w:rPr>
              <w:t>449</w:t>
            </w:r>
          </w:p>
        </w:tc>
        <w:tc>
          <w:tcPr>
            <w:tcW w:w="562" w:type="dxa"/>
            <w:tcBorders>
              <w:top w:val="nil"/>
              <w:bottom w:val="single" w:color="auto" w:sz="4" w:space="0"/>
            </w:tcBorders>
            <w:tcMar>
              <w:top w:w="15" w:type="dxa"/>
              <w:left w:w="15" w:type="dxa"/>
              <w:bottom w:w="0" w:type="dxa"/>
              <w:right w:w="15" w:type="dxa"/>
            </w:tcMar>
            <w:vAlign w:val="center"/>
          </w:tcPr>
          <w:p>
            <w:pPr>
              <w:widowControl/>
              <w:spacing w:line="240" w:lineRule="auto"/>
              <w:jc w:val="right"/>
              <w:textAlignment w:val="bottom"/>
              <w:rPr>
                <w:rFonts w:ascii="Times New Roman" w:hAnsi="Times New Roman" w:eastAsia="宋体"/>
                <w:kern w:val="0"/>
                <w:sz w:val="18"/>
                <w:szCs w:val="18"/>
              </w:rPr>
            </w:pPr>
            <w:r>
              <w:rPr>
                <w:rFonts w:ascii="Times New Roman" w:hAnsi="Times New Roman" w:eastAsia="宋体"/>
                <w:kern w:val="24"/>
                <w:sz w:val="18"/>
                <w:szCs w:val="18"/>
              </w:rPr>
              <w:t>520</w:t>
            </w:r>
          </w:p>
        </w:tc>
        <w:tc>
          <w:tcPr>
            <w:tcW w:w="562" w:type="dxa"/>
            <w:tcBorders>
              <w:top w:val="nil"/>
              <w:bottom w:val="single" w:color="auto" w:sz="4" w:space="0"/>
            </w:tcBorders>
            <w:tcMar>
              <w:top w:w="15" w:type="dxa"/>
              <w:left w:w="15" w:type="dxa"/>
              <w:bottom w:w="0" w:type="dxa"/>
              <w:right w:w="15" w:type="dxa"/>
            </w:tcMar>
            <w:vAlign w:val="center"/>
          </w:tcPr>
          <w:p>
            <w:pPr>
              <w:widowControl/>
              <w:spacing w:line="240" w:lineRule="auto"/>
              <w:jc w:val="right"/>
              <w:textAlignment w:val="bottom"/>
              <w:rPr>
                <w:rFonts w:ascii="Times New Roman" w:hAnsi="Times New Roman" w:eastAsia="宋体"/>
                <w:kern w:val="0"/>
                <w:sz w:val="18"/>
                <w:szCs w:val="18"/>
              </w:rPr>
            </w:pPr>
            <w:r>
              <w:rPr>
                <w:rFonts w:ascii="Times New Roman" w:hAnsi="Times New Roman" w:eastAsia="宋体"/>
                <w:kern w:val="24"/>
                <w:sz w:val="18"/>
                <w:szCs w:val="18"/>
              </w:rPr>
              <w:t>585</w:t>
            </w:r>
          </w:p>
        </w:tc>
        <w:tc>
          <w:tcPr>
            <w:tcW w:w="562" w:type="dxa"/>
            <w:tcBorders>
              <w:top w:val="nil"/>
              <w:bottom w:val="single" w:color="auto" w:sz="4" w:space="0"/>
            </w:tcBorders>
            <w:tcMar>
              <w:top w:w="15" w:type="dxa"/>
              <w:left w:w="15" w:type="dxa"/>
              <w:bottom w:w="0" w:type="dxa"/>
              <w:right w:w="15" w:type="dxa"/>
            </w:tcMar>
            <w:vAlign w:val="center"/>
          </w:tcPr>
          <w:p>
            <w:pPr>
              <w:widowControl/>
              <w:spacing w:line="240" w:lineRule="auto"/>
              <w:jc w:val="right"/>
              <w:textAlignment w:val="bottom"/>
              <w:rPr>
                <w:rFonts w:ascii="Times New Roman" w:hAnsi="Times New Roman" w:eastAsia="宋体"/>
                <w:kern w:val="0"/>
                <w:sz w:val="18"/>
                <w:szCs w:val="18"/>
              </w:rPr>
            </w:pPr>
            <w:r>
              <w:rPr>
                <w:rFonts w:ascii="Times New Roman" w:hAnsi="Times New Roman" w:eastAsia="宋体"/>
                <w:kern w:val="24"/>
                <w:sz w:val="18"/>
                <w:szCs w:val="18"/>
              </w:rPr>
              <w:t>660</w:t>
            </w:r>
          </w:p>
        </w:tc>
        <w:tc>
          <w:tcPr>
            <w:tcW w:w="562" w:type="dxa"/>
            <w:tcBorders>
              <w:top w:val="nil"/>
              <w:bottom w:val="single" w:color="auto" w:sz="4" w:space="0"/>
            </w:tcBorders>
            <w:tcMar>
              <w:top w:w="15" w:type="dxa"/>
              <w:left w:w="15" w:type="dxa"/>
              <w:bottom w:w="0" w:type="dxa"/>
              <w:right w:w="15" w:type="dxa"/>
            </w:tcMar>
            <w:vAlign w:val="center"/>
          </w:tcPr>
          <w:p>
            <w:pPr>
              <w:widowControl/>
              <w:spacing w:line="240" w:lineRule="auto"/>
              <w:jc w:val="right"/>
              <w:textAlignment w:val="bottom"/>
              <w:rPr>
                <w:rFonts w:ascii="Times New Roman" w:hAnsi="Times New Roman" w:eastAsia="宋体"/>
                <w:kern w:val="0"/>
                <w:sz w:val="18"/>
                <w:szCs w:val="18"/>
              </w:rPr>
            </w:pPr>
            <w:r>
              <w:rPr>
                <w:rFonts w:ascii="Times New Roman" w:hAnsi="Times New Roman" w:eastAsia="宋体"/>
                <w:kern w:val="24"/>
                <w:sz w:val="18"/>
                <w:szCs w:val="18"/>
              </w:rPr>
              <w:t>740</w:t>
            </w:r>
          </w:p>
        </w:tc>
        <w:tc>
          <w:tcPr>
            <w:tcW w:w="562" w:type="dxa"/>
            <w:tcBorders>
              <w:top w:val="nil"/>
              <w:bottom w:val="single" w:color="auto" w:sz="4" w:space="0"/>
            </w:tcBorders>
            <w:tcMar>
              <w:top w:w="15" w:type="dxa"/>
              <w:left w:w="15" w:type="dxa"/>
              <w:bottom w:w="0" w:type="dxa"/>
              <w:right w:w="15" w:type="dxa"/>
            </w:tcMar>
            <w:vAlign w:val="center"/>
          </w:tcPr>
          <w:p>
            <w:pPr>
              <w:widowControl/>
              <w:spacing w:line="240" w:lineRule="auto"/>
              <w:jc w:val="right"/>
              <w:textAlignment w:val="bottom"/>
              <w:rPr>
                <w:rFonts w:ascii="Times New Roman" w:hAnsi="Times New Roman" w:eastAsia="宋体"/>
                <w:kern w:val="0"/>
                <w:sz w:val="18"/>
                <w:szCs w:val="18"/>
              </w:rPr>
            </w:pPr>
            <w:r>
              <w:rPr>
                <w:rFonts w:ascii="Times New Roman" w:hAnsi="Times New Roman" w:eastAsia="宋体"/>
                <w:kern w:val="24"/>
                <w:sz w:val="18"/>
                <w:szCs w:val="18"/>
              </w:rPr>
              <w:t>821</w:t>
            </w:r>
          </w:p>
        </w:tc>
        <w:tc>
          <w:tcPr>
            <w:tcW w:w="562" w:type="dxa"/>
            <w:tcBorders>
              <w:top w:val="nil"/>
              <w:bottom w:val="single" w:color="auto" w:sz="4" w:space="0"/>
            </w:tcBorders>
            <w:tcMar>
              <w:top w:w="15" w:type="dxa"/>
              <w:left w:w="15" w:type="dxa"/>
              <w:bottom w:w="0" w:type="dxa"/>
              <w:right w:w="15" w:type="dxa"/>
            </w:tcMar>
            <w:vAlign w:val="center"/>
          </w:tcPr>
          <w:p>
            <w:pPr>
              <w:widowControl/>
              <w:spacing w:line="240" w:lineRule="auto"/>
              <w:jc w:val="right"/>
              <w:textAlignment w:val="bottom"/>
              <w:rPr>
                <w:rFonts w:ascii="Times New Roman" w:hAnsi="Times New Roman" w:eastAsia="宋体"/>
                <w:kern w:val="0"/>
                <w:sz w:val="18"/>
                <w:szCs w:val="18"/>
              </w:rPr>
            </w:pPr>
            <w:r>
              <w:rPr>
                <w:rFonts w:ascii="Times New Roman" w:hAnsi="Times New Roman" w:eastAsia="宋体"/>
                <w:kern w:val="24"/>
                <w:sz w:val="18"/>
                <w:szCs w:val="18"/>
              </w:rPr>
              <w:t>903</w:t>
            </w:r>
          </w:p>
        </w:tc>
        <w:tc>
          <w:tcPr>
            <w:tcW w:w="562" w:type="dxa"/>
            <w:tcBorders>
              <w:top w:val="nil"/>
              <w:bottom w:val="single" w:color="auto" w:sz="4" w:space="0"/>
            </w:tcBorders>
            <w:tcMar>
              <w:top w:w="15" w:type="dxa"/>
              <w:left w:w="15" w:type="dxa"/>
              <w:bottom w:w="0" w:type="dxa"/>
              <w:right w:w="15" w:type="dxa"/>
            </w:tcMar>
            <w:vAlign w:val="center"/>
          </w:tcPr>
          <w:p>
            <w:pPr>
              <w:widowControl/>
              <w:spacing w:line="240" w:lineRule="auto"/>
              <w:jc w:val="right"/>
              <w:textAlignment w:val="bottom"/>
              <w:rPr>
                <w:rFonts w:ascii="Times New Roman" w:hAnsi="Times New Roman" w:eastAsia="宋体"/>
                <w:kern w:val="0"/>
                <w:sz w:val="18"/>
                <w:szCs w:val="18"/>
              </w:rPr>
            </w:pPr>
            <w:r>
              <w:rPr>
                <w:rFonts w:ascii="Times New Roman" w:hAnsi="Times New Roman" w:eastAsia="宋体"/>
                <w:kern w:val="24"/>
                <w:sz w:val="18"/>
                <w:szCs w:val="18"/>
              </w:rPr>
              <w:t>985</w:t>
            </w:r>
          </w:p>
        </w:tc>
        <w:tc>
          <w:tcPr>
            <w:tcW w:w="562" w:type="dxa"/>
            <w:tcBorders>
              <w:top w:val="nil"/>
              <w:bottom w:val="single" w:color="auto" w:sz="4" w:space="0"/>
            </w:tcBorders>
            <w:tcMar>
              <w:top w:w="15" w:type="dxa"/>
              <w:left w:w="15" w:type="dxa"/>
              <w:bottom w:w="0" w:type="dxa"/>
              <w:right w:w="15" w:type="dxa"/>
            </w:tcMar>
            <w:vAlign w:val="center"/>
          </w:tcPr>
          <w:p>
            <w:pPr>
              <w:widowControl/>
              <w:spacing w:line="240" w:lineRule="auto"/>
              <w:jc w:val="right"/>
              <w:textAlignment w:val="bottom"/>
              <w:rPr>
                <w:rFonts w:ascii="Times New Roman" w:hAnsi="Times New Roman" w:eastAsia="宋体"/>
                <w:kern w:val="0"/>
                <w:sz w:val="18"/>
                <w:szCs w:val="18"/>
              </w:rPr>
            </w:pPr>
            <w:r>
              <w:rPr>
                <w:rFonts w:ascii="Times New Roman" w:hAnsi="Times New Roman" w:eastAsia="宋体"/>
                <w:kern w:val="24"/>
                <w:sz w:val="18"/>
                <w:szCs w:val="18"/>
              </w:rPr>
              <w:t>1,063</w:t>
            </w:r>
          </w:p>
        </w:tc>
        <w:tc>
          <w:tcPr>
            <w:tcW w:w="562" w:type="dxa"/>
            <w:tcBorders>
              <w:top w:val="nil"/>
              <w:bottom w:val="single" w:color="auto" w:sz="4" w:space="0"/>
            </w:tcBorders>
            <w:tcMar>
              <w:top w:w="15" w:type="dxa"/>
              <w:left w:w="15" w:type="dxa"/>
              <w:bottom w:w="0" w:type="dxa"/>
              <w:right w:w="15" w:type="dxa"/>
            </w:tcMar>
            <w:vAlign w:val="center"/>
          </w:tcPr>
          <w:p>
            <w:pPr>
              <w:widowControl/>
              <w:spacing w:line="240" w:lineRule="auto"/>
              <w:jc w:val="right"/>
              <w:textAlignment w:val="bottom"/>
              <w:rPr>
                <w:rFonts w:ascii="Times New Roman" w:hAnsi="Times New Roman" w:eastAsia="宋体"/>
                <w:kern w:val="0"/>
                <w:sz w:val="18"/>
                <w:szCs w:val="18"/>
              </w:rPr>
            </w:pPr>
            <w:r>
              <w:rPr>
                <w:rFonts w:ascii="Times New Roman" w:hAnsi="Times New Roman" w:eastAsia="宋体"/>
                <w:kern w:val="24"/>
                <w:sz w:val="18"/>
                <w:szCs w:val="18"/>
              </w:rPr>
              <w:t>1,138</w:t>
            </w:r>
          </w:p>
        </w:tc>
        <w:tc>
          <w:tcPr>
            <w:tcW w:w="562" w:type="dxa"/>
            <w:tcBorders>
              <w:top w:val="nil"/>
              <w:bottom w:val="single" w:color="auto" w:sz="4" w:space="0"/>
            </w:tcBorders>
            <w:tcMar>
              <w:top w:w="15" w:type="dxa"/>
              <w:left w:w="15" w:type="dxa"/>
              <w:bottom w:w="0" w:type="dxa"/>
              <w:right w:w="15" w:type="dxa"/>
            </w:tcMar>
            <w:vAlign w:val="center"/>
          </w:tcPr>
          <w:p>
            <w:pPr>
              <w:widowControl/>
              <w:spacing w:line="240" w:lineRule="auto"/>
              <w:jc w:val="right"/>
              <w:textAlignment w:val="bottom"/>
              <w:rPr>
                <w:rFonts w:ascii="Times New Roman" w:hAnsi="Times New Roman" w:eastAsia="宋体"/>
                <w:kern w:val="0"/>
                <w:sz w:val="18"/>
                <w:szCs w:val="18"/>
              </w:rPr>
            </w:pPr>
            <w:r>
              <w:rPr>
                <w:rFonts w:ascii="Times New Roman" w:hAnsi="Times New Roman" w:eastAsia="宋体"/>
                <w:kern w:val="24"/>
                <w:sz w:val="18"/>
                <w:szCs w:val="18"/>
              </w:rPr>
              <w:t>1,206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166" w:hRule="atLeast"/>
        </w:trPr>
        <w:tc>
          <w:tcPr>
            <w:tcW w:w="2232" w:type="dxa"/>
            <w:tcBorders>
              <w:top w:val="single" w:color="auto" w:sz="4" w:space="0"/>
              <w:bottom w:val="nil"/>
            </w:tcBorders>
            <w:tcMar>
              <w:top w:w="15" w:type="dxa"/>
              <w:left w:w="15" w:type="dxa"/>
              <w:bottom w:w="0" w:type="dxa"/>
              <w:right w:w="15" w:type="dxa"/>
            </w:tcMar>
            <w:vAlign w:val="center"/>
          </w:tcPr>
          <w:p>
            <w:pPr>
              <w:widowControl/>
              <w:spacing w:line="240" w:lineRule="auto"/>
              <w:jc w:val="center"/>
              <w:textAlignment w:val="bottom"/>
              <w:rPr>
                <w:rFonts w:ascii="Times New Roman" w:hAnsi="Times New Roman" w:eastAsia="宋体"/>
                <w:kern w:val="0"/>
                <w:sz w:val="18"/>
                <w:szCs w:val="18"/>
              </w:rPr>
            </w:pPr>
            <w:r>
              <w:rPr>
                <w:rFonts w:ascii="Times New Roman" w:hAnsi="宋体" w:eastAsia="宋体"/>
                <w:b/>
                <w:bCs/>
                <w:kern w:val="24"/>
                <w:sz w:val="18"/>
                <w:szCs w:val="18"/>
              </w:rPr>
              <w:t>经代渠道</w:t>
            </w:r>
          </w:p>
        </w:tc>
        <w:tc>
          <w:tcPr>
            <w:tcW w:w="562" w:type="dxa"/>
            <w:tcBorders>
              <w:top w:val="single" w:color="auto" w:sz="4" w:space="0"/>
              <w:bottom w:val="nil"/>
            </w:tcBorders>
            <w:tcMar>
              <w:top w:w="15" w:type="dxa"/>
              <w:left w:w="15" w:type="dxa"/>
              <w:bottom w:w="0" w:type="dxa"/>
              <w:right w:w="15" w:type="dxa"/>
            </w:tcMar>
            <w:vAlign w:val="center"/>
          </w:tcPr>
          <w:p>
            <w:pPr>
              <w:widowControl/>
              <w:spacing w:line="240" w:lineRule="auto"/>
              <w:jc w:val="center"/>
              <w:rPr>
                <w:rFonts w:ascii="Times New Roman" w:hAnsi="Times New Roman" w:eastAsia="宋体"/>
                <w:kern w:val="0"/>
                <w:sz w:val="18"/>
                <w:szCs w:val="18"/>
              </w:rPr>
            </w:pPr>
          </w:p>
        </w:tc>
        <w:tc>
          <w:tcPr>
            <w:tcW w:w="562" w:type="dxa"/>
            <w:tcBorders>
              <w:top w:val="single" w:color="auto" w:sz="4" w:space="0"/>
              <w:bottom w:val="nil"/>
            </w:tcBorders>
            <w:tcMar>
              <w:top w:w="15" w:type="dxa"/>
              <w:left w:w="15" w:type="dxa"/>
              <w:bottom w:w="0" w:type="dxa"/>
              <w:right w:w="15" w:type="dxa"/>
            </w:tcMar>
            <w:vAlign w:val="center"/>
          </w:tcPr>
          <w:p>
            <w:pPr>
              <w:widowControl/>
              <w:spacing w:line="240" w:lineRule="auto"/>
              <w:jc w:val="center"/>
              <w:rPr>
                <w:rFonts w:ascii="Times New Roman" w:hAnsi="Times New Roman" w:eastAsia="宋体"/>
                <w:kern w:val="0"/>
                <w:sz w:val="18"/>
                <w:szCs w:val="18"/>
              </w:rPr>
            </w:pPr>
          </w:p>
        </w:tc>
        <w:tc>
          <w:tcPr>
            <w:tcW w:w="562" w:type="dxa"/>
            <w:tcBorders>
              <w:top w:val="single" w:color="auto" w:sz="4" w:space="0"/>
              <w:bottom w:val="nil"/>
            </w:tcBorders>
            <w:tcMar>
              <w:top w:w="15" w:type="dxa"/>
              <w:left w:w="15" w:type="dxa"/>
              <w:bottom w:w="0" w:type="dxa"/>
              <w:right w:w="15" w:type="dxa"/>
            </w:tcMar>
            <w:vAlign w:val="center"/>
          </w:tcPr>
          <w:p>
            <w:pPr>
              <w:widowControl/>
              <w:spacing w:line="240" w:lineRule="auto"/>
              <w:jc w:val="center"/>
              <w:rPr>
                <w:rFonts w:ascii="Times New Roman" w:hAnsi="Times New Roman" w:eastAsia="宋体"/>
                <w:kern w:val="0"/>
                <w:sz w:val="18"/>
                <w:szCs w:val="18"/>
              </w:rPr>
            </w:pPr>
          </w:p>
        </w:tc>
        <w:tc>
          <w:tcPr>
            <w:tcW w:w="562" w:type="dxa"/>
            <w:tcBorders>
              <w:top w:val="single" w:color="auto" w:sz="4" w:space="0"/>
              <w:bottom w:val="nil"/>
            </w:tcBorders>
            <w:tcMar>
              <w:top w:w="15" w:type="dxa"/>
              <w:left w:w="15" w:type="dxa"/>
              <w:bottom w:w="0" w:type="dxa"/>
              <w:right w:w="15" w:type="dxa"/>
            </w:tcMar>
            <w:vAlign w:val="center"/>
          </w:tcPr>
          <w:p>
            <w:pPr>
              <w:widowControl/>
              <w:spacing w:line="240" w:lineRule="auto"/>
              <w:jc w:val="center"/>
              <w:rPr>
                <w:rFonts w:ascii="Times New Roman" w:hAnsi="Times New Roman" w:eastAsia="宋体"/>
                <w:kern w:val="0"/>
                <w:sz w:val="18"/>
                <w:szCs w:val="18"/>
              </w:rPr>
            </w:pPr>
          </w:p>
        </w:tc>
        <w:tc>
          <w:tcPr>
            <w:tcW w:w="562" w:type="dxa"/>
            <w:tcBorders>
              <w:top w:val="single" w:color="auto" w:sz="4" w:space="0"/>
              <w:bottom w:val="nil"/>
            </w:tcBorders>
            <w:tcMar>
              <w:top w:w="15" w:type="dxa"/>
              <w:left w:w="15" w:type="dxa"/>
              <w:bottom w:w="0" w:type="dxa"/>
              <w:right w:w="15" w:type="dxa"/>
            </w:tcMar>
            <w:vAlign w:val="center"/>
          </w:tcPr>
          <w:p>
            <w:pPr>
              <w:widowControl/>
              <w:spacing w:line="240" w:lineRule="auto"/>
              <w:jc w:val="center"/>
              <w:rPr>
                <w:rFonts w:ascii="Times New Roman" w:hAnsi="Times New Roman" w:eastAsia="宋体"/>
                <w:kern w:val="0"/>
                <w:sz w:val="18"/>
                <w:szCs w:val="18"/>
              </w:rPr>
            </w:pPr>
          </w:p>
        </w:tc>
        <w:tc>
          <w:tcPr>
            <w:tcW w:w="562" w:type="dxa"/>
            <w:tcBorders>
              <w:top w:val="single" w:color="auto" w:sz="4" w:space="0"/>
              <w:bottom w:val="nil"/>
            </w:tcBorders>
            <w:tcMar>
              <w:top w:w="15" w:type="dxa"/>
              <w:left w:w="15" w:type="dxa"/>
              <w:bottom w:w="0" w:type="dxa"/>
              <w:right w:w="15" w:type="dxa"/>
            </w:tcMar>
            <w:vAlign w:val="center"/>
          </w:tcPr>
          <w:p>
            <w:pPr>
              <w:widowControl/>
              <w:spacing w:line="240" w:lineRule="auto"/>
              <w:jc w:val="center"/>
              <w:rPr>
                <w:rFonts w:ascii="Times New Roman" w:hAnsi="Times New Roman" w:eastAsia="宋体"/>
                <w:kern w:val="0"/>
                <w:sz w:val="18"/>
                <w:szCs w:val="18"/>
              </w:rPr>
            </w:pPr>
          </w:p>
        </w:tc>
        <w:tc>
          <w:tcPr>
            <w:tcW w:w="562" w:type="dxa"/>
            <w:tcBorders>
              <w:top w:val="single" w:color="auto" w:sz="4" w:space="0"/>
              <w:bottom w:val="nil"/>
            </w:tcBorders>
            <w:tcMar>
              <w:top w:w="15" w:type="dxa"/>
              <w:left w:w="15" w:type="dxa"/>
              <w:bottom w:w="0" w:type="dxa"/>
              <w:right w:w="15" w:type="dxa"/>
            </w:tcMar>
            <w:vAlign w:val="center"/>
          </w:tcPr>
          <w:p>
            <w:pPr>
              <w:widowControl/>
              <w:spacing w:line="240" w:lineRule="auto"/>
              <w:jc w:val="center"/>
              <w:rPr>
                <w:rFonts w:ascii="Times New Roman" w:hAnsi="Times New Roman" w:eastAsia="宋体"/>
                <w:kern w:val="0"/>
                <w:sz w:val="18"/>
                <w:szCs w:val="18"/>
              </w:rPr>
            </w:pPr>
          </w:p>
        </w:tc>
        <w:tc>
          <w:tcPr>
            <w:tcW w:w="562" w:type="dxa"/>
            <w:tcBorders>
              <w:top w:val="single" w:color="auto" w:sz="4" w:space="0"/>
              <w:bottom w:val="nil"/>
            </w:tcBorders>
            <w:tcMar>
              <w:top w:w="15" w:type="dxa"/>
              <w:left w:w="15" w:type="dxa"/>
              <w:bottom w:w="0" w:type="dxa"/>
              <w:right w:w="15" w:type="dxa"/>
            </w:tcMar>
            <w:vAlign w:val="center"/>
          </w:tcPr>
          <w:p>
            <w:pPr>
              <w:widowControl/>
              <w:spacing w:line="240" w:lineRule="auto"/>
              <w:jc w:val="center"/>
              <w:rPr>
                <w:rFonts w:ascii="Times New Roman" w:hAnsi="Times New Roman" w:eastAsia="宋体"/>
                <w:kern w:val="0"/>
                <w:sz w:val="18"/>
                <w:szCs w:val="18"/>
              </w:rPr>
            </w:pPr>
          </w:p>
        </w:tc>
        <w:tc>
          <w:tcPr>
            <w:tcW w:w="562" w:type="dxa"/>
            <w:tcBorders>
              <w:top w:val="single" w:color="auto" w:sz="4" w:space="0"/>
              <w:bottom w:val="nil"/>
            </w:tcBorders>
            <w:tcMar>
              <w:top w:w="15" w:type="dxa"/>
              <w:left w:w="15" w:type="dxa"/>
              <w:bottom w:w="0" w:type="dxa"/>
              <w:right w:w="15" w:type="dxa"/>
            </w:tcMar>
            <w:vAlign w:val="center"/>
          </w:tcPr>
          <w:p>
            <w:pPr>
              <w:widowControl/>
              <w:spacing w:line="240" w:lineRule="auto"/>
              <w:jc w:val="center"/>
              <w:rPr>
                <w:rFonts w:ascii="Times New Roman" w:hAnsi="Times New Roman" w:eastAsia="宋体"/>
                <w:kern w:val="0"/>
                <w:sz w:val="18"/>
                <w:szCs w:val="18"/>
              </w:rPr>
            </w:pPr>
          </w:p>
        </w:tc>
        <w:tc>
          <w:tcPr>
            <w:tcW w:w="562" w:type="dxa"/>
            <w:tcBorders>
              <w:top w:val="single" w:color="auto" w:sz="4" w:space="0"/>
              <w:bottom w:val="nil"/>
            </w:tcBorders>
            <w:tcMar>
              <w:top w:w="15" w:type="dxa"/>
              <w:left w:w="15" w:type="dxa"/>
              <w:bottom w:w="0" w:type="dxa"/>
              <w:right w:w="15" w:type="dxa"/>
            </w:tcMar>
            <w:vAlign w:val="center"/>
          </w:tcPr>
          <w:p>
            <w:pPr>
              <w:widowControl/>
              <w:spacing w:line="240" w:lineRule="auto"/>
              <w:jc w:val="center"/>
              <w:rPr>
                <w:rFonts w:ascii="Times New Roman" w:hAnsi="Times New Roman" w:eastAsia="宋体"/>
                <w:kern w:val="0"/>
                <w:sz w:val="18"/>
                <w:szCs w:val="18"/>
              </w:rPr>
            </w:pPr>
          </w:p>
        </w:tc>
        <w:tc>
          <w:tcPr>
            <w:tcW w:w="562" w:type="dxa"/>
            <w:tcBorders>
              <w:top w:val="single" w:color="auto" w:sz="4" w:space="0"/>
              <w:bottom w:val="nil"/>
            </w:tcBorders>
            <w:tcMar>
              <w:top w:w="15" w:type="dxa"/>
              <w:left w:w="15" w:type="dxa"/>
              <w:bottom w:w="0" w:type="dxa"/>
              <w:right w:w="15" w:type="dxa"/>
            </w:tcMar>
            <w:vAlign w:val="center"/>
          </w:tcPr>
          <w:p>
            <w:pPr>
              <w:widowControl/>
              <w:spacing w:line="240" w:lineRule="auto"/>
              <w:jc w:val="center"/>
              <w:rPr>
                <w:rFonts w:ascii="Times New Roman" w:hAnsi="Times New Roman" w:eastAsia="宋体"/>
                <w:kern w:val="0"/>
                <w:sz w:val="18"/>
                <w:szCs w:val="18"/>
              </w:rPr>
            </w:pPr>
          </w:p>
        </w:tc>
        <w:tc>
          <w:tcPr>
            <w:tcW w:w="562" w:type="dxa"/>
            <w:tcBorders>
              <w:top w:val="single" w:color="auto" w:sz="4" w:space="0"/>
              <w:bottom w:val="nil"/>
            </w:tcBorders>
            <w:tcMar>
              <w:top w:w="15" w:type="dxa"/>
              <w:left w:w="15" w:type="dxa"/>
              <w:bottom w:w="0" w:type="dxa"/>
              <w:right w:w="15" w:type="dxa"/>
            </w:tcMar>
            <w:vAlign w:val="center"/>
          </w:tcPr>
          <w:p>
            <w:pPr>
              <w:widowControl/>
              <w:spacing w:line="240" w:lineRule="auto"/>
              <w:jc w:val="center"/>
              <w:rPr>
                <w:rFonts w:ascii="Times New Roman" w:hAnsi="Times New Roman" w:eastAsia="宋体"/>
                <w:kern w:val="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186" w:hRule="atLeast"/>
        </w:trPr>
        <w:tc>
          <w:tcPr>
            <w:tcW w:w="2232" w:type="dxa"/>
            <w:tcBorders>
              <w:top w:val="nil"/>
              <w:bottom w:val="nil"/>
            </w:tcBorders>
            <w:tcMar>
              <w:top w:w="15" w:type="dxa"/>
              <w:left w:w="15" w:type="dxa"/>
              <w:bottom w:w="0" w:type="dxa"/>
              <w:right w:w="15" w:type="dxa"/>
            </w:tcMar>
            <w:vAlign w:val="center"/>
          </w:tcPr>
          <w:p>
            <w:pPr>
              <w:widowControl/>
              <w:spacing w:line="240" w:lineRule="auto"/>
              <w:jc w:val="left"/>
              <w:textAlignment w:val="bottom"/>
              <w:rPr>
                <w:rFonts w:ascii="Times New Roman" w:hAnsi="Times New Roman" w:eastAsia="宋体"/>
                <w:kern w:val="0"/>
                <w:sz w:val="18"/>
                <w:szCs w:val="18"/>
              </w:rPr>
            </w:pPr>
            <w:r>
              <w:rPr>
                <w:rFonts w:ascii="Times New Roman" w:hAnsi="宋体" w:eastAsia="宋体"/>
                <w:kern w:val="24"/>
                <w:sz w:val="18"/>
                <w:szCs w:val="18"/>
              </w:rPr>
              <w:t>活动经代公司数量</w:t>
            </w:r>
          </w:p>
        </w:tc>
        <w:tc>
          <w:tcPr>
            <w:tcW w:w="562" w:type="dxa"/>
            <w:tcBorders>
              <w:top w:val="nil"/>
              <w:bottom w:val="nil"/>
            </w:tcBorders>
            <w:tcMar>
              <w:top w:w="15" w:type="dxa"/>
              <w:left w:w="15" w:type="dxa"/>
              <w:bottom w:w="0" w:type="dxa"/>
              <w:right w:w="15" w:type="dxa"/>
            </w:tcMar>
            <w:vAlign w:val="center"/>
          </w:tcPr>
          <w:p>
            <w:pPr>
              <w:widowControl/>
              <w:spacing w:line="240" w:lineRule="auto"/>
              <w:jc w:val="right"/>
              <w:textAlignment w:val="bottom"/>
              <w:rPr>
                <w:rFonts w:ascii="Times New Roman" w:hAnsi="Times New Roman" w:eastAsia="宋体"/>
                <w:kern w:val="0"/>
                <w:sz w:val="18"/>
                <w:szCs w:val="18"/>
              </w:rPr>
            </w:pPr>
            <w:r>
              <w:rPr>
                <w:rFonts w:ascii="Times New Roman" w:hAnsi="Times New Roman" w:eastAsia="宋体"/>
                <w:kern w:val="24"/>
                <w:sz w:val="18"/>
                <w:szCs w:val="18"/>
              </w:rPr>
              <w:t>37</w:t>
            </w:r>
          </w:p>
        </w:tc>
        <w:tc>
          <w:tcPr>
            <w:tcW w:w="562" w:type="dxa"/>
            <w:tcBorders>
              <w:top w:val="nil"/>
              <w:bottom w:val="nil"/>
            </w:tcBorders>
            <w:tcMar>
              <w:top w:w="15" w:type="dxa"/>
              <w:left w:w="15" w:type="dxa"/>
              <w:bottom w:w="0" w:type="dxa"/>
              <w:right w:w="15" w:type="dxa"/>
            </w:tcMar>
            <w:vAlign w:val="center"/>
          </w:tcPr>
          <w:p>
            <w:pPr>
              <w:widowControl/>
              <w:spacing w:line="240" w:lineRule="auto"/>
              <w:jc w:val="right"/>
              <w:textAlignment w:val="bottom"/>
              <w:rPr>
                <w:rFonts w:ascii="Times New Roman" w:hAnsi="Times New Roman" w:eastAsia="宋体"/>
                <w:kern w:val="0"/>
                <w:sz w:val="18"/>
                <w:szCs w:val="18"/>
              </w:rPr>
            </w:pPr>
            <w:r>
              <w:rPr>
                <w:rFonts w:ascii="Times New Roman" w:hAnsi="Times New Roman" w:eastAsia="宋体"/>
                <w:kern w:val="24"/>
                <w:sz w:val="18"/>
                <w:szCs w:val="18"/>
              </w:rPr>
              <w:t>43</w:t>
            </w:r>
          </w:p>
        </w:tc>
        <w:tc>
          <w:tcPr>
            <w:tcW w:w="562" w:type="dxa"/>
            <w:tcBorders>
              <w:top w:val="nil"/>
              <w:bottom w:val="nil"/>
            </w:tcBorders>
            <w:tcMar>
              <w:top w:w="15" w:type="dxa"/>
              <w:left w:w="15" w:type="dxa"/>
              <w:bottom w:w="0" w:type="dxa"/>
              <w:right w:w="15" w:type="dxa"/>
            </w:tcMar>
            <w:vAlign w:val="center"/>
          </w:tcPr>
          <w:p>
            <w:pPr>
              <w:widowControl/>
              <w:spacing w:line="240" w:lineRule="auto"/>
              <w:jc w:val="right"/>
              <w:textAlignment w:val="bottom"/>
              <w:rPr>
                <w:rFonts w:ascii="Times New Roman" w:hAnsi="Times New Roman" w:eastAsia="宋体"/>
                <w:kern w:val="0"/>
                <w:sz w:val="18"/>
                <w:szCs w:val="18"/>
              </w:rPr>
            </w:pPr>
            <w:r>
              <w:rPr>
                <w:rFonts w:ascii="Times New Roman" w:hAnsi="Times New Roman" w:eastAsia="宋体"/>
                <w:kern w:val="24"/>
                <w:sz w:val="18"/>
                <w:szCs w:val="18"/>
              </w:rPr>
              <w:t>48</w:t>
            </w:r>
          </w:p>
        </w:tc>
        <w:tc>
          <w:tcPr>
            <w:tcW w:w="562" w:type="dxa"/>
            <w:tcBorders>
              <w:top w:val="nil"/>
              <w:bottom w:val="nil"/>
            </w:tcBorders>
            <w:tcMar>
              <w:top w:w="15" w:type="dxa"/>
              <w:left w:w="15" w:type="dxa"/>
              <w:bottom w:w="0" w:type="dxa"/>
              <w:right w:w="15" w:type="dxa"/>
            </w:tcMar>
            <w:vAlign w:val="center"/>
          </w:tcPr>
          <w:p>
            <w:pPr>
              <w:widowControl/>
              <w:spacing w:line="240" w:lineRule="auto"/>
              <w:jc w:val="right"/>
              <w:textAlignment w:val="bottom"/>
              <w:rPr>
                <w:rFonts w:ascii="Times New Roman" w:hAnsi="Times New Roman" w:eastAsia="宋体"/>
                <w:kern w:val="0"/>
                <w:sz w:val="18"/>
                <w:szCs w:val="18"/>
              </w:rPr>
            </w:pPr>
            <w:r>
              <w:rPr>
                <w:rFonts w:ascii="Times New Roman" w:hAnsi="Times New Roman" w:eastAsia="宋体"/>
                <w:kern w:val="24"/>
                <w:sz w:val="18"/>
                <w:szCs w:val="18"/>
              </w:rPr>
              <w:t>54</w:t>
            </w:r>
          </w:p>
        </w:tc>
        <w:tc>
          <w:tcPr>
            <w:tcW w:w="562" w:type="dxa"/>
            <w:tcBorders>
              <w:top w:val="nil"/>
              <w:bottom w:val="nil"/>
            </w:tcBorders>
            <w:tcMar>
              <w:top w:w="15" w:type="dxa"/>
              <w:left w:w="15" w:type="dxa"/>
              <w:bottom w:w="0" w:type="dxa"/>
              <w:right w:w="15" w:type="dxa"/>
            </w:tcMar>
            <w:vAlign w:val="center"/>
          </w:tcPr>
          <w:p>
            <w:pPr>
              <w:widowControl/>
              <w:spacing w:line="240" w:lineRule="auto"/>
              <w:jc w:val="right"/>
              <w:textAlignment w:val="bottom"/>
              <w:rPr>
                <w:rFonts w:ascii="Times New Roman" w:hAnsi="Times New Roman" w:eastAsia="宋体"/>
                <w:kern w:val="0"/>
                <w:sz w:val="18"/>
                <w:szCs w:val="18"/>
              </w:rPr>
            </w:pPr>
            <w:r>
              <w:rPr>
                <w:rFonts w:ascii="Times New Roman" w:hAnsi="Times New Roman" w:eastAsia="宋体"/>
                <w:kern w:val="24"/>
                <w:sz w:val="18"/>
                <w:szCs w:val="18"/>
              </w:rPr>
              <w:t>58</w:t>
            </w:r>
          </w:p>
        </w:tc>
        <w:tc>
          <w:tcPr>
            <w:tcW w:w="562" w:type="dxa"/>
            <w:tcBorders>
              <w:top w:val="nil"/>
              <w:bottom w:val="nil"/>
            </w:tcBorders>
            <w:tcMar>
              <w:top w:w="15" w:type="dxa"/>
              <w:left w:w="15" w:type="dxa"/>
              <w:bottom w:w="0" w:type="dxa"/>
              <w:right w:w="15" w:type="dxa"/>
            </w:tcMar>
            <w:vAlign w:val="center"/>
          </w:tcPr>
          <w:p>
            <w:pPr>
              <w:widowControl/>
              <w:spacing w:line="240" w:lineRule="auto"/>
              <w:jc w:val="right"/>
              <w:textAlignment w:val="bottom"/>
              <w:rPr>
                <w:rFonts w:ascii="Times New Roman" w:hAnsi="Times New Roman" w:eastAsia="宋体"/>
                <w:kern w:val="0"/>
                <w:sz w:val="18"/>
                <w:szCs w:val="18"/>
              </w:rPr>
            </w:pPr>
            <w:r>
              <w:rPr>
                <w:rFonts w:ascii="Times New Roman" w:hAnsi="Times New Roman" w:eastAsia="宋体"/>
                <w:kern w:val="24"/>
                <w:sz w:val="18"/>
                <w:szCs w:val="18"/>
              </w:rPr>
              <w:t>63</w:t>
            </w:r>
          </w:p>
        </w:tc>
        <w:tc>
          <w:tcPr>
            <w:tcW w:w="562" w:type="dxa"/>
            <w:tcBorders>
              <w:top w:val="nil"/>
              <w:bottom w:val="nil"/>
            </w:tcBorders>
            <w:tcMar>
              <w:top w:w="15" w:type="dxa"/>
              <w:left w:w="15" w:type="dxa"/>
              <w:bottom w:w="0" w:type="dxa"/>
              <w:right w:w="15" w:type="dxa"/>
            </w:tcMar>
            <w:vAlign w:val="center"/>
          </w:tcPr>
          <w:p>
            <w:pPr>
              <w:widowControl/>
              <w:spacing w:line="240" w:lineRule="auto"/>
              <w:jc w:val="right"/>
              <w:textAlignment w:val="bottom"/>
              <w:rPr>
                <w:rFonts w:ascii="Times New Roman" w:hAnsi="Times New Roman" w:eastAsia="宋体"/>
                <w:kern w:val="0"/>
                <w:sz w:val="18"/>
                <w:szCs w:val="18"/>
              </w:rPr>
            </w:pPr>
            <w:r>
              <w:rPr>
                <w:rFonts w:ascii="Times New Roman" w:hAnsi="Times New Roman" w:eastAsia="宋体"/>
                <w:kern w:val="24"/>
                <w:sz w:val="18"/>
                <w:szCs w:val="18"/>
              </w:rPr>
              <w:t>68</w:t>
            </w:r>
          </w:p>
        </w:tc>
        <w:tc>
          <w:tcPr>
            <w:tcW w:w="562" w:type="dxa"/>
            <w:tcBorders>
              <w:top w:val="nil"/>
              <w:bottom w:val="nil"/>
            </w:tcBorders>
            <w:tcMar>
              <w:top w:w="15" w:type="dxa"/>
              <w:left w:w="15" w:type="dxa"/>
              <w:bottom w:w="0" w:type="dxa"/>
              <w:right w:w="15" w:type="dxa"/>
            </w:tcMar>
            <w:vAlign w:val="center"/>
          </w:tcPr>
          <w:p>
            <w:pPr>
              <w:widowControl/>
              <w:spacing w:line="240" w:lineRule="auto"/>
              <w:jc w:val="right"/>
              <w:textAlignment w:val="bottom"/>
              <w:rPr>
                <w:rFonts w:ascii="Times New Roman" w:hAnsi="Times New Roman" w:eastAsia="宋体"/>
                <w:kern w:val="0"/>
                <w:sz w:val="18"/>
                <w:szCs w:val="18"/>
              </w:rPr>
            </w:pPr>
            <w:r>
              <w:rPr>
                <w:rFonts w:ascii="Times New Roman" w:hAnsi="Times New Roman" w:eastAsia="宋体"/>
                <w:kern w:val="24"/>
                <w:sz w:val="18"/>
                <w:szCs w:val="18"/>
              </w:rPr>
              <w:t>73</w:t>
            </w:r>
          </w:p>
        </w:tc>
        <w:tc>
          <w:tcPr>
            <w:tcW w:w="562" w:type="dxa"/>
            <w:tcBorders>
              <w:top w:val="nil"/>
              <w:bottom w:val="nil"/>
            </w:tcBorders>
            <w:tcMar>
              <w:top w:w="15" w:type="dxa"/>
              <w:left w:w="15" w:type="dxa"/>
              <w:bottom w:w="0" w:type="dxa"/>
              <w:right w:w="15" w:type="dxa"/>
            </w:tcMar>
            <w:vAlign w:val="center"/>
          </w:tcPr>
          <w:p>
            <w:pPr>
              <w:widowControl/>
              <w:spacing w:line="240" w:lineRule="auto"/>
              <w:jc w:val="right"/>
              <w:textAlignment w:val="bottom"/>
              <w:rPr>
                <w:rFonts w:ascii="Times New Roman" w:hAnsi="Times New Roman" w:eastAsia="宋体"/>
                <w:kern w:val="0"/>
                <w:sz w:val="18"/>
                <w:szCs w:val="18"/>
              </w:rPr>
            </w:pPr>
            <w:r>
              <w:rPr>
                <w:rFonts w:ascii="Times New Roman" w:hAnsi="Times New Roman" w:eastAsia="宋体"/>
                <w:kern w:val="24"/>
                <w:sz w:val="18"/>
                <w:szCs w:val="18"/>
              </w:rPr>
              <w:t>78</w:t>
            </w:r>
          </w:p>
        </w:tc>
        <w:tc>
          <w:tcPr>
            <w:tcW w:w="562" w:type="dxa"/>
            <w:tcBorders>
              <w:top w:val="nil"/>
              <w:bottom w:val="nil"/>
            </w:tcBorders>
            <w:tcMar>
              <w:top w:w="15" w:type="dxa"/>
              <w:left w:w="15" w:type="dxa"/>
              <w:bottom w:w="0" w:type="dxa"/>
              <w:right w:w="15" w:type="dxa"/>
            </w:tcMar>
            <w:vAlign w:val="center"/>
          </w:tcPr>
          <w:p>
            <w:pPr>
              <w:widowControl/>
              <w:spacing w:line="240" w:lineRule="auto"/>
              <w:jc w:val="right"/>
              <w:textAlignment w:val="bottom"/>
              <w:rPr>
                <w:rFonts w:ascii="Times New Roman" w:hAnsi="Times New Roman" w:eastAsia="宋体"/>
                <w:kern w:val="0"/>
                <w:sz w:val="18"/>
                <w:szCs w:val="18"/>
              </w:rPr>
            </w:pPr>
            <w:r>
              <w:rPr>
                <w:rFonts w:ascii="Times New Roman" w:hAnsi="Times New Roman" w:eastAsia="宋体"/>
                <w:kern w:val="24"/>
                <w:sz w:val="18"/>
                <w:szCs w:val="18"/>
              </w:rPr>
              <w:t>83</w:t>
            </w:r>
          </w:p>
        </w:tc>
        <w:tc>
          <w:tcPr>
            <w:tcW w:w="562" w:type="dxa"/>
            <w:tcBorders>
              <w:top w:val="nil"/>
              <w:bottom w:val="nil"/>
            </w:tcBorders>
            <w:tcMar>
              <w:top w:w="15" w:type="dxa"/>
              <w:left w:w="15" w:type="dxa"/>
              <w:bottom w:w="0" w:type="dxa"/>
              <w:right w:w="15" w:type="dxa"/>
            </w:tcMar>
            <w:vAlign w:val="center"/>
          </w:tcPr>
          <w:p>
            <w:pPr>
              <w:widowControl/>
              <w:spacing w:line="240" w:lineRule="auto"/>
              <w:jc w:val="right"/>
              <w:textAlignment w:val="bottom"/>
              <w:rPr>
                <w:rFonts w:ascii="Times New Roman" w:hAnsi="Times New Roman" w:eastAsia="宋体"/>
                <w:kern w:val="0"/>
                <w:sz w:val="18"/>
                <w:szCs w:val="18"/>
              </w:rPr>
            </w:pPr>
            <w:r>
              <w:rPr>
                <w:rFonts w:ascii="Times New Roman" w:hAnsi="Times New Roman" w:eastAsia="宋体"/>
                <w:kern w:val="24"/>
                <w:sz w:val="18"/>
                <w:szCs w:val="18"/>
              </w:rPr>
              <w:t>87</w:t>
            </w:r>
          </w:p>
        </w:tc>
        <w:tc>
          <w:tcPr>
            <w:tcW w:w="562" w:type="dxa"/>
            <w:tcBorders>
              <w:top w:val="nil"/>
              <w:bottom w:val="nil"/>
            </w:tcBorders>
            <w:tcMar>
              <w:top w:w="15" w:type="dxa"/>
              <w:left w:w="15" w:type="dxa"/>
              <w:bottom w:w="0" w:type="dxa"/>
              <w:right w:w="15" w:type="dxa"/>
            </w:tcMar>
            <w:vAlign w:val="center"/>
          </w:tcPr>
          <w:p>
            <w:pPr>
              <w:widowControl/>
              <w:spacing w:line="240" w:lineRule="auto"/>
              <w:jc w:val="right"/>
              <w:textAlignment w:val="bottom"/>
              <w:rPr>
                <w:rFonts w:ascii="Times New Roman" w:hAnsi="Times New Roman" w:eastAsia="宋体"/>
                <w:kern w:val="0"/>
                <w:sz w:val="18"/>
                <w:szCs w:val="18"/>
              </w:rPr>
            </w:pPr>
            <w:r>
              <w:rPr>
                <w:rFonts w:ascii="Times New Roman" w:hAnsi="Times New Roman" w:eastAsia="宋体"/>
                <w:kern w:val="24"/>
                <w:sz w:val="18"/>
                <w:szCs w:val="18"/>
              </w:rPr>
              <w:t>92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186" w:hRule="atLeast"/>
        </w:trPr>
        <w:tc>
          <w:tcPr>
            <w:tcW w:w="2232" w:type="dxa"/>
            <w:tcBorders>
              <w:top w:val="nil"/>
              <w:bottom w:val="nil"/>
            </w:tcBorders>
            <w:tcMar>
              <w:top w:w="15" w:type="dxa"/>
              <w:left w:w="15" w:type="dxa"/>
              <w:bottom w:w="0" w:type="dxa"/>
              <w:right w:w="15" w:type="dxa"/>
            </w:tcMar>
            <w:vAlign w:val="center"/>
          </w:tcPr>
          <w:p>
            <w:pPr>
              <w:widowControl/>
              <w:spacing w:line="240" w:lineRule="auto"/>
              <w:jc w:val="left"/>
              <w:textAlignment w:val="bottom"/>
              <w:rPr>
                <w:rFonts w:ascii="Times New Roman" w:hAnsi="Times New Roman" w:eastAsia="宋体"/>
                <w:kern w:val="24"/>
                <w:sz w:val="18"/>
                <w:szCs w:val="18"/>
              </w:rPr>
            </w:pPr>
            <w:r>
              <w:rPr>
                <w:rFonts w:ascii="Times New Roman" w:hAnsi="宋体" w:eastAsia="宋体"/>
                <w:kern w:val="24"/>
                <w:sz w:val="18"/>
                <w:szCs w:val="18"/>
              </w:rPr>
              <w:t>活动经代公司</w:t>
            </w:r>
          </w:p>
          <w:p>
            <w:pPr>
              <w:widowControl/>
              <w:spacing w:line="240" w:lineRule="auto"/>
              <w:jc w:val="left"/>
              <w:textAlignment w:val="bottom"/>
              <w:rPr>
                <w:rFonts w:ascii="Times New Roman" w:hAnsi="Times New Roman" w:eastAsia="宋体"/>
                <w:kern w:val="0"/>
                <w:sz w:val="18"/>
                <w:szCs w:val="18"/>
              </w:rPr>
            </w:pPr>
            <w:r>
              <w:rPr>
                <w:rFonts w:ascii="Times New Roman" w:hAnsi="宋体" w:eastAsia="宋体"/>
                <w:kern w:val="24"/>
                <w:sz w:val="18"/>
                <w:szCs w:val="18"/>
              </w:rPr>
              <w:t>数增长率</w:t>
            </w:r>
          </w:p>
        </w:tc>
        <w:tc>
          <w:tcPr>
            <w:tcW w:w="562" w:type="dxa"/>
            <w:tcBorders>
              <w:top w:val="nil"/>
              <w:bottom w:val="nil"/>
            </w:tcBorders>
            <w:tcMar>
              <w:top w:w="15" w:type="dxa"/>
              <w:left w:w="15" w:type="dxa"/>
              <w:bottom w:w="0" w:type="dxa"/>
              <w:right w:w="15" w:type="dxa"/>
            </w:tcMar>
            <w:vAlign w:val="center"/>
          </w:tcPr>
          <w:p>
            <w:pPr>
              <w:widowControl/>
              <w:spacing w:line="240" w:lineRule="auto"/>
              <w:jc w:val="right"/>
              <w:rPr>
                <w:rFonts w:ascii="Times New Roman" w:hAnsi="Times New Roman" w:eastAsia="宋体"/>
                <w:kern w:val="0"/>
                <w:sz w:val="18"/>
                <w:szCs w:val="18"/>
              </w:rPr>
            </w:pPr>
          </w:p>
        </w:tc>
        <w:tc>
          <w:tcPr>
            <w:tcW w:w="562" w:type="dxa"/>
            <w:tcBorders>
              <w:top w:val="nil"/>
              <w:bottom w:val="nil"/>
            </w:tcBorders>
            <w:tcMar>
              <w:top w:w="15" w:type="dxa"/>
              <w:left w:w="15" w:type="dxa"/>
              <w:bottom w:w="0" w:type="dxa"/>
              <w:right w:w="15" w:type="dxa"/>
            </w:tcMar>
            <w:vAlign w:val="center"/>
          </w:tcPr>
          <w:p>
            <w:pPr>
              <w:widowControl/>
              <w:spacing w:line="240" w:lineRule="auto"/>
              <w:jc w:val="right"/>
              <w:textAlignment w:val="bottom"/>
              <w:rPr>
                <w:rFonts w:ascii="Times New Roman" w:hAnsi="Times New Roman" w:eastAsia="宋体"/>
                <w:kern w:val="0"/>
                <w:sz w:val="18"/>
                <w:szCs w:val="18"/>
              </w:rPr>
            </w:pPr>
            <w:r>
              <w:rPr>
                <w:rFonts w:ascii="Times New Roman" w:hAnsi="Times New Roman" w:eastAsia="宋体"/>
                <w:kern w:val="24"/>
                <w:sz w:val="18"/>
                <w:szCs w:val="18"/>
              </w:rPr>
              <w:t>17%</w:t>
            </w:r>
          </w:p>
        </w:tc>
        <w:tc>
          <w:tcPr>
            <w:tcW w:w="562" w:type="dxa"/>
            <w:tcBorders>
              <w:top w:val="nil"/>
              <w:bottom w:val="nil"/>
            </w:tcBorders>
            <w:tcMar>
              <w:top w:w="15" w:type="dxa"/>
              <w:left w:w="15" w:type="dxa"/>
              <w:bottom w:w="0" w:type="dxa"/>
              <w:right w:w="15" w:type="dxa"/>
            </w:tcMar>
            <w:vAlign w:val="center"/>
          </w:tcPr>
          <w:p>
            <w:pPr>
              <w:widowControl/>
              <w:spacing w:line="240" w:lineRule="auto"/>
              <w:jc w:val="right"/>
              <w:textAlignment w:val="bottom"/>
              <w:rPr>
                <w:rFonts w:ascii="Times New Roman" w:hAnsi="Times New Roman" w:eastAsia="宋体"/>
                <w:kern w:val="0"/>
                <w:sz w:val="18"/>
                <w:szCs w:val="18"/>
              </w:rPr>
            </w:pPr>
            <w:r>
              <w:rPr>
                <w:rFonts w:ascii="Times New Roman" w:hAnsi="Times New Roman" w:eastAsia="宋体"/>
                <w:kern w:val="24"/>
                <w:sz w:val="18"/>
                <w:szCs w:val="18"/>
              </w:rPr>
              <w:t>11%</w:t>
            </w:r>
          </w:p>
        </w:tc>
        <w:tc>
          <w:tcPr>
            <w:tcW w:w="562" w:type="dxa"/>
            <w:tcBorders>
              <w:top w:val="nil"/>
              <w:bottom w:val="nil"/>
            </w:tcBorders>
            <w:tcMar>
              <w:top w:w="15" w:type="dxa"/>
              <w:left w:w="15" w:type="dxa"/>
              <w:bottom w:w="0" w:type="dxa"/>
              <w:right w:w="15" w:type="dxa"/>
            </w:tcMar>
            <w:vAlign w:val="center"/>
          </w:tcPr>
          <w:p>
            <w:pPr>
              <w:widowControl/>
              <w:spacing w:line="240" w:lineRule="auto"/>
              <w:jc w:val="right"/>
              <w:textAlignment w:val="bottom"/>
              <w:rPr>
                <w:rFonts w:ascii="Times New Roman" w:hAnsi="Times New Roman" w:eastAsia="宋体"/>
                <w:kern w:val="0"/>
                <w:sz w:val="18"/>
                <w:szCs w:val="18"/>
              </w:rPr>
            </w:pPr>
            <w:r>
              <w:rPr>
                <w:rFonts w:ascii="Times New Roman" w:hAnsi="Times New Roman" w:eastAsia="宋体"/>
                <w:kern w:val="24"/>
                <w:sz w:val="18"/>
                <w:szCs w:val="18"/>
              </w:rPr>
              <w:t>15%</w:t>
            </w:r>
          </w:p>
        </w:tc>
        <w:tc>
          <w:tcPr>
            <w:tcW w:w="562" w:type="dxa"/>
            <w:tcBorders>
              <w:top w:val="nil"/>
              <w:bottom w:val="nil"/>
            </w:tcBorders>
            <w:tcMar>
              <w:top w:w="15" w:type="dxa"/>
              <w:left w:w="15" w:type="dxa"/>
              <w:bottom w:w="0" w:type="dxa"/>
              <w:right w:w="15" w:type="dxa"/>
            </w:tcMar>
            <w:vAlign w:val="center"/>
          </w:tcPr>
          <w:p>
            <w:pPr>
              <w:widowControl/>
              <w:spacing w:line="240" w:lineRule="auto"/>
              <w:jc w:val="right"/>
              <w:textAlignment w:val="bottom"/>
              <w:rPr>
                <w:rFonts w:ascii="Times New Roman" w:hAnsi="Times New Roman" w:eastAsia="宋体"/>
                <w:kern w:val="0"/>
                <w:sz w:val="18"/>
                <w:szCs w:val="18"/>
              </w:rPr>
            </w:pPr>
            <w:r>
              <w:rPr>
                <w:rFonts w:ascii="Times New Roman" w:hAnsi="Times New Roman" w:eastAsia="宋体"/>
                <w:kern w:val="24"/>
                <w:sz w:val="18"/>
                <w:szCs w:val="18"/>
              </w:rPr>
              <w:t>8%</w:t>
            </w:r>
          </w:p>
        </w:tc>
        <w:tc>
          <w:tcPr>
            <w:tcW w:w="562" w:type="dxa"/>
            <w:tcBorders>
              <w:top w:val="nil"/>
              <w:bottom w:val="nil"/>
            </w:tcBorders>
            <w:tcMar>
              <w:top w:w="15" w:type="dxa"/>
              <w:left w:w="15" w:type="dxa"/>
              <w:bottom w:w="0" w:type="dxa"/>
              <w:right w:w="15" w:type="dxa"/>
            </w:tcMar>
            <w:vAlign w:val="center"/>
          </w:tcPr>
          <w:p>
            <w:pPr>
              <w:widowControl/>
              <w:spacing w:line="240" w:lineRule="auto"/>
              <w:jc w:val="right"/>
              <w:textAlignment w:val="bottom"/>
              <w:rPr>
                <w:rFonts w:ascii="Times New Roman" w:hAnsi="Times New Roman" w:eastAsia="宋体"/>
                <w:kern w:val="0"/>
                <w:sz w:val="18"/>
                <w:szCs w:val="18"/>
              </w:rPr>
            </w:pPr>
            <w:r>
              <w:rPr>
                <w:rFonts w:ascii="Times New Roman" w:hAnsi="Times New Roman" w:eastAsia="宋体"/>
                <w:kern w:val="24"/>
                <w:sz w:val="18"/>
                <w:szCs w:val="18"/>
              </w:rPr>
              <w:t>8%</w:t>
            </w:r>
          </w:p>
        </w:tc>
        <w:tc>
          <w:tcPr>
            <w:tcW w:w="562" w:type="dxa"/>
            <w:tcBorders>
              <w:top w:val="nil"/>
              <w:bottom w:val="nil"/>
            </w:tcBorders>
            <w:tcMar>
              <w:top w:w="15" w:type="dxa"/>
              <w:left w:w="15" w:type="dxa"/>
              <w:bottom w:w="0" w:type="dxa"/>
              <w:right w:w="15" w:type="dxa"/>
            </w:tcMar>
            <w:vAlign w:val="center"/>
          </w:tcPr>
          <w:p>
            <w:pPr>
              <w:widowControl/>
              <w:spacing w:line="240" w:lineRule="auto"/>
              <w:jc w:val="right"/>
              <w:textAlignment w:val="bottom"/>
              <w:rPr>
                <w:rFonts w:ascii="Times New Roman" w:hAnsi="Times New Roman" w:eastAsia="宋体"/>
                <w:kern w:val="0"/>
                <w:sz w:val="18"/>
                <w:szCs w:val="18"/>
              </w:rPr>
            </w:pPr>
            <w:r>
              <w:rPr>
                <w:rFonts w:ascii="Times New Roman" w:hAnsi="Times New Roman" w:eastAsia="宋体"/>
                <w:kern w:val="24"/>
                <w:sz w:val="18"/>
                <w:szCs w:val="18"/>
              </w:rPr>
              <w:t>8%</w:t>
            </w:r>
          </w:p>
        </w:tc>
        <w:tc>
          <w:tcPr>
            <w:tcW w:w="562" w:type="dxa"/>
            <w:tcBorders>
              <w:top w:val="nil"/>
              <w:bottom w:val="nil"/>
            </w:tcBorders>
            <w:tcMar>
              <w:top w:w="15" w:type="dxa"/>
              <w:left w:w="15" w:type="dxa"/>
              <w:bottom w:w="0" w:type="dxa"/>
              <w:right w:w="15" w:type="dxa"/>
            </w:tcMar>
            <w:vAlign w:val="center"/>
          </w:tcPr>
          <w:p>
            <w:pPr>
              <w:widowControl/>
              <w:spacing w:line="240" w:lineRule="auto"/>
              <w:jc w:val="right"/>
              <w:textAlignment w:val="bottom"/>
              <w:rPr>
                <w:rFonts w:ascii="Times New Roman" w:hAnsi="Times New Roman" w:eastAsia="宋体"/>
                <w:kern w:val="0"/>
                <w:sz w:val="18"/>
                <w:szCs w:val="18"/>
              </w:rPr>
            </w:pPr>
            <w:r>
              <w:rPr>
                <w:rFonts w:ascii="Times New Roman" w:hAnsi="Times New Roman" w:eastAsia="宋体"/>
                <w:kern w:val="24"/>
                <w:sz w:val="18"/>
                <w:szCs w:val="18"/>
              </w:rPr>
              <w:t>8%</w:t>
            </w:r>
          </w:p>
        </w:tc>
        <w:tc>
          <w:tcPr>
            <w:tcW w:w="562" w:type="dxa"/>
            <w:tcBorders>
              <w:top w:val="nil"/>
              <w:bottom w:val="nil"/>
            </w:tcBorders>
            <w:tcMar>
              <w:top w:w="15" w:type="dxa"/>
              <w:left w:w="15" w:type="dxa"/>
              <w:bottom w:w="0" w:type="dxa"/>
              <w:right w:w="15" w:type="dxa"/>
            </w:tcMar>
            <w:vAlign w:val="center"/>
          </w:tcPr>
          <w:p>
            <w:pPr>
              <w:widowControl/>
              <w:spacing w:line="240" w:lineRule="auto"/>
              <w:jc w:val="right"/>
              <w:textAlignment w:val="bottom"/>
              <w:rPr>
                <w:rFonts w:ascii="Times New Roman" w:hAnsi="Times New Roman" w:eastAsia="宋体"/>
                <w:kern w:val="0"/>
                <w:sz w:val="18"/>
                <w:szCs w:val="18"/>
              </w:rPr>
            </w:pPr>
            <w:r>
              <w:rPr>
                <w:rFonts w:ascii="Times New Roman" w:hAnsi="Times New Roman" w:eastAsia="宋体"/>
                <w:kern w:val="24"/>
                <w:sz w:val="18"/>
                <w:szCs w:val="18"/>
              </w:rPr>
              <w:t>7%</w:t>
            </w:r>
          </w:p>
        </w:tc>
        <w:tc>
          <w:tcPr>
            <w:tcW w:w="562" w:type="dxa"/>
            <w:tcBorders>
              <w:top w:val="nil"/>
              <w:bottom w:val="nil"/>
            </w:tcBorders>
            <w:tcMar>
              <w:top w:w="15" w:type="dxa"/>
              <w:left w:w="15" w:type="dxa"/>
              <w:bottom w:w="0" w:type="dxa"/>
              <w:right w:w="15" w:type="dxa"/>
            </w:tcMar>
            <w:vAlign w:val="center"/>
          </w:tcPr>
          <w:p>
            <w:pPr>
              <w:widowControl/>
              <w:spacing w:line="240" w:lineRule="auto"/>
              <w:jc w:val="right"/>
              <w:textAlignment w:val="bottom"/>
              <w:rPr>
                <w:rFonts w:ascii="Times New Roman" w:hAnsi="Times New Roman" w:eastAsia="宋体"/>
                <w:kern w:val="0"/>
                <w:sz w:val="18"/>
                <w:szCs w:val="18"/>
              </w:rPr>
            </w:pPr>
            <w:r>
              <w:rPr>
                <w:rFonts w:ascii="Times New Roman" w:hAnsi="Times New Roman" w:eastAsia="宋体"/>
                <w:kern w:val="24"/>
                <w:sz w:val="18"/>
                <w:szCs w:val="18"/>
              </w:rPr>
              <w:t>7%</w:t>
            </w:r>
          </w:p>
        </w:tc>
        <w:tc>
          <w:tcPr>
            <w:tcW w:w="562" w:type="dxa"/>
            <w:tcBorders>
              <w:top w:val="nil"/>
              <w:bottom w:val="nil"/>
            </w:tcBorders>
            <w:tcMar>
              <w:top w:w="15" w:type="dxa"/>
              <w:left w:w="15" w:type="dxa"/>
              <w:bottom w:w="0" w:type="dxa"/>
              <w:right w:w="15" w:type="dxa"/>
            </w:tcMar>
            <w:vAlign w:val="center"/>
          </w:tcPr>
          <w:p>
            <w:pPr>
              <w:widowControl/>
              <w:spacing w:line="240" w:lineRule="auto"/>
              <w:jc w:val="right"/>
              <w:textAlignment w:val="bottom"/>
              <w:rPr>
                <w:rFonts w:ascii="Times New Roman" w:hAnsi="Times New Roman" w:eastAsia="宋体"/>
                <w:kern w:val="0"/>
                <w:sz w:val="18"/>
                <w:szCs w:val="18"/>
              </w:rPr>
            </w:pPr>
            <w:r>
              <w:rPr>
                <w:rFonts w:ascii="Times New Roman" w:hAnsi="Times New Roman" w:eastAsia="宋体"/>
                <w:kern w:val="24"/>
                <w:sz w:val="18"/>
                <w:szCs w:val="18"/>
              </w:rPr>
              <w:t>6%</w:t>
            </w:r>
          </w:p>
        </w:tc>
        <w:tc>
          <w:tcPr>
            <w:tcW w:w="562" w:type="dxa"/>
            <w:tcBorders>
              <w:top w:val="nil"/>
              <w:bottom w:val="nil"/>
            </w:tcBorders>
            <w:tcMar>
              <w:top w:w="15" w:type="dxa"/>
              <w:left w:w="15" w:type="dxa"/>
              <w:bottom w:w="0" w:type="dxa"/>
              <w:right w:w="15" w:type="dxa"/>
            </w:tcMar>
            <w:vAlign w:val="center"/>
          </w:tcPr>
          <w:p>
            <w:pPr>
              <w:widowControl/>
              <w:spacing w:line="240" w:lineRule="auto"/>
              <w:jc w:val="right"/>
              <w:textAlignment w:val="bottom"/>
              <w:rPr>
                <w:rFonts w:ascii="Times New Roman" w:hAnsi="Times New Roman" w:eastAsia="宋体"/>
                <w:kern w:val="0"/>
                <w:sz w:val="18"/>
                <w:szCs w:val="18"/>
              </w:rPr>
            </w:pPr>
            <w:r>
              <w:rPr>
                <w:rFonts w:ascii="Times New Roman" w:hAnsi="Times New Roman" w:eastAsia="宋体"/>
                <w:kern w:val="24"/>
                <w:sz w:val="18"/>
                <w:szCs w:val="18"/>
              </w:rPr>
              <w:t>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186" w:hRule="atLeast"/>
        </w:trPr>
        <w:tc>
          <w:tcPr>
            <w:tcW w:w="2232" w:type="dxa"/>
            <w:tcBorders>
              <w:top w:val="nil"/>
              <w:bottom w:val="nil"/>
            </w:tcBorders>
            <w:tcMar>
              <w:top w:w="15" w:type="dxa"/>
              <w:left w:w="15" w:type="dxa"/>
              <w:bottom w:w="0" w:type="dxa"/>
              <w:right w:w="15" w:type="dxa"/>
            </w:tcMar>
            <w:vAlign w:val="center"/>
          </w:tcPr>
          <w:p>
            <w:pPr>
              <w:widowControl/>
              <w:spacing w:line="240" w:lineRule="auto"/>
              <w:jc w:val="left"/>
              <w:textAlignment w:val="bottom"/>
              <w:rPr>
                <w:rFonts w:ascii="Times New Roman" w:hAnsi="Times New Roman" w:eastAsia="宋体"/>
                <w:kern w:val="0"/>
                <w:sz w:val="18"/>
                <w:szCs w:val="18"/>
              </w:rPr>
            </w:pPr>
            <w:r>
              <w:rPr>
                <w:rFonts w:ascii="Times New Roman" w:hAnsi="宋体" w:eastAsia="宋体"/>
                <w:kern w:val="24"/>
                <w:sz w:val="18"/>
                <w:szCs w:val="18"/>
              </w:rPr>
              <w:t>活动经月均产能（千元）</w:t>
            </w:r>
          </w:p>
        </w:tc>
        <w:tc>
          <w:tcPr>
            <w:tcW w:w="562" w:type="dxa"/>
            <w:tcBorders>
              <w:top w:val="nil"/>
              <w:bottom w:val="nil"/>
            </w:tcBorders>
            <w:tcMar>
              <w:top w:w="15" w:type="dxa"/>
              <w:left w:w="15" w:type="dxa"/>
              <w:bottom w:w="0" w:type="dxa"/>
              <w:right w:w="15" w:type="dxa"/>
            </w:tcMar>
            <w:vAlign w:val="center"/>
          </w:tcPr>
          <w:p>
            <w:pPr>
              <w:widowControl/>
              <w:spacing w:line="240" w:lineRule="auto"/>
              <w:jc w:val="right"/>
              <w:textAlignment w:val="bottom"/>
              <w:rPr>
                <w:rFonts w:ascii="Times New Roman" w:hAnsi="Times New Roman" w:eastAsia="宋体"/>
                <w:kern w:val="0"/>
                <w:sz w:val="18"/>
                <w:szCs w:val="18"/>
              </w:rPr>
            </w:pPr>
            <w:r>
              <w:rPr>
                <w:rFonts w:ascii="Times New Roman" w:hAnsi="Times New Roman" w:eastAsia="宋体"/>
                <w:kern w:val="24"/>
                <w:sz w:val="18"/>
                <w:szCs w:val="18"/>
              </w:rPr>
              <w:t>98</w:t>
            </w:r>
          </w:p>
        </w:tc>
        <w:tc>
          <w:tcPr>
            <w:tcW w:w="562" w:type="dxa"/>
            <w:tcBorders>
              <w:top w:val="nil"/>
              <w:bottom w:val="nil"/>
            </w:tcBorders>
            <w:tcMar>
              <w:top w:w="15" w:type="dxa"/>
              <w:left w:w="15" w:type="dxa"/>
              <w:bottom w:w="0" w:type="dxa"/>
              <w:right w:w="15" w:type="dxa"/>
            </w:tcMar>
            <w:vAlign w:val="center"/>
          </w:tcPr>
          <w:p>
            <w:pPr>
              <w:widowControl/>
              <w:spacing w:line="240" w:lineRule="auto"/>
              <w:jc w:val="right"/>
              <w:textAlignment w:val="bottom"/>
              <w:rPr>
                <w:rFonts w:ascii="Times New Roman" w:hAnsi="Times New Roman" w:eastAsia="宋体"/>
                <w:kern w:val="0"/>
                <w:sz w:val="18"/>
                <w:szCs w:val="18"/>
              </w:rPr>
            </w:pPr>
            <w:r>
              <w:rPr>
                <w:rFonts w:ascii="Times New Roman" w:hAnsi="Times New Roman" w:eastAsia="宋体"/>
                <w:kern w:val="24"/>
                <w:sz w:val="18"/>
                <w:szCs w:val="18"/>
              </w:rPr>
              <w:t>113</w:t>
            </w:r>
          </w:p>
        </w:tc>
        <w:tc>
          <w:tcPr>
            <w:tcW w:w="562" w:type="dxa"/>
            <w:tcBorders>
              <w:top w:val="nil"/>
              <w:bottom w:val="nil"/>
            </w:tcBorders>
            <w:tcMar>
              <w:top w:w="15" w:type="dxa"/>
              <w:left w:w="15" w:type="dxa"/>
              <w:bottom w:w="0" w:type="dxa"/>
              <w:right w:w="15" w:type="dxa"/>
            </w:tcMar>
            <w:vAlign w:val="center"/>
          </w:tcPr>
          <w:p>
            <w:pPr>
              <w:widowControl/>
              <w:spacing w:line="240" w:lineRule="auto"/>
              <w:jc w:val="right"/>
              <w:textAlignment w:val="bottom"/>
              <w:rPr>
                <w:rFonts w:ascii="Times New Roman" w:hAnsi="Times New Roman" w:eastAsia="宋体"/>
                <w:kern w:val="0"/>
                <w:sz w:val="18"/>
                <w:szCs w:val="18"/>
              </w:rPr>
            </w:pPr>
            <w:r>
              <w:rPr>
                <w:rFonts w:ascii="Times New Roman" w:hAnsi="Times New Roman" w:eastAsia="宋体"/>
                <w:kern w:val="24"/>
                <w:sz w:val="18"/>
                <w:szCs w:val="18"/>
              </w:rPr>
              <w:t>117</w:t>
            </w:r>
          </w:p>
        </w:tc>
        <w:tc>
          <w:tcPr>
            <w:tcW w:w="562" w:type="dxa"/>
            <w:tcBorders>
              <w:top w:val="nil"/>
              <w:bottom w:val="nil"/>
            </w:tcBorders>
            <w:tcMar>
              <w:top w:w="15" w:type="dxa"/>
              <w:left w:w="15" w:type="dxa"/>
              <w:bottom w:w="0" w:type="dxa"/>
              <w:right w:w="15" w:type="dxa"/>
            </w:tcMar>
            <w:vAlign w:val="center"/>
          </w:tcPr>
          <w:p>
            <w:pPr>
              <w:widowControl/>
              <w:spacing w:line="240" w:lineRule="auto"/>
              <w:jc w:val="right"/>
              <w:textAlignment w:val="bottom"/>
              <w:rPr>
                <w:rFonts w:ascii="Times New Roman" w:hAnsi="Times New Roman" w:eastAsia="宋体"/>
                <w:kern w:val="0"/>
                <w:sz w:val="18"/>
                <w:szCs w:val="18"/>
              </w:rPr>
            </w:pPr>
            <w:r>
              <w:rPr>
                <w:rFonts w:ascii="Times New Roman" w:hAnsi="Times New Roman" w:eastAsia="宋体"/>
                <w:kern w:val="24"/>
                <w:sz w:val="18"/>
                <w:szCs w:val="18"/>
              </w:rPr>
              <w:t>134</w:t>
            </w:r>
          </w:p>
        </w:tc>
        <w:tc>
          <w:tcPr>
            <w:tcW w:w="562" w:type="dxa"/>
            <w:tcBorders>
              <w:top w:val="nil"/>
              <w:bottom w:val="nil"/>
            </w:tcBorders>
            <w:tcMar>
              <w:top w:w="15" w:type="dxa"/>
              <w:left w:w="15" w:type="dxa"/>
              <w:bottom w:w="0" w:type="dxa"/>
              <w:right w:w="15" w:type="dxa"/>
            </w:tcMar>
            <w:vAlign w:val="center"/>
          </w:tcPr>
          <w:p>
            <w:pPr>
              <w:widowControl/>
              <w:spacing w:line="240" w:lineRule="auto"/>
              <w:jc w:val="right"/>
              <w:textAlignment w:val="bottom"/>
              <w:rPr>
                <w:rFonts w:ascii="Times New Roman" w:hAnsi="Times New Roman" w:eastAsia="宋体"/>
                <w:kern w:val="0"/>
                <w:sz w:val="18"/>
                <w:szCs w:val="18"/>
              </w:rPr>
            </w:pPr>
            <w:r>
              <w:rPr>
                <w:rFonts w:ascii="Times New Roman" w:hAnsi="Times New Roman" w:eastAsia="宋体"/>
                <w:kern w:val="24"/>
                <w:sz w:val="18"/>
                <w:szCs w:val="18"/>
              </w:rPr>
              <w:t>139</w:t>
            </w:r>
          </w:p>
        </w:tc>
        <w:tc>
          <w:tcPr>
            <w:tcW w:w="562" w:type="dxa"/>
            <w:tcBorders>
              <w:top w:val="nil"/>
              <w:bottom w:val="nil"/>
            </w:tcBorders>
            <w:tcMar>
              <w:top w:w="15" w:type="dxa"/>
              <w:left w:w="15" w:type="dxa"/>
              <w:bottom w:w="0" w:type="dxa"/>
              <w:right w:w="15" w:type="dxa"/>
            </w:tcMar>
            <w:vAlign w:val="center"/>
          </w:tcPr>
          <w:p>
            <w:pPr>
              <w:widowControl/>
              <w:spacing w:line="240" w:lineRule="auto"/>
              <w:jc w:val="right"/>
              <w:textAlignment w:val="bottom"/>
              <w:rPr>
                <w:rFonts w:ascii="Times New Roman" w:hAnsi="Times New Roman" w:eastAsia="宋体"/>
                <w:kern w:val="0"/>
                <w:sz w:val="18"/>
                <w:szCs w:val="18"/>
              </w:rPr>
            </w:pPr>
            <w:r>
              <w:rPr>
                <w:rFonts w:ascii="Times New Roman" w:hAnsi="Times New Roman" w:eastAsia="宋体"/>
                <w:kern w:val="24"/>
                <w:sz w:val="18"/>
                <w:szCs w:val="18"/>
              </w:rPr>
              <w:t>144</w:t>
            </w:r>
          </w:p>
        </w:tc>
        <w:tc>
          <w:tcPr>
            <w:tcW w:w="562" w:type="dxa"/>
            <w:tcBorders>
              <w:top w:val="nil"/>
              <w:bottom w:val="nil"/>
            </w:tcBorders>
            <w:tcMar>
              <w:top w:w="15" w:type="dxa"/>
              <w:left w:w="15" w:type="dxa"/>
              <w:bottom w:w="0" w:type="dxa"/>
              <w:right w:w="15" w:type="dxa"/>
            </w:tcMar>
            <w:vAlign w:val="center"/>
          </w:tcPr>
          <w:p>
            <w:pPr>
              <w:widowControl/>
              <w:spacing w:line="240" w:lineRule="auto"/>
              <w:jc w:val="right"/>
              <w:textAlignment w:val="bottom"/>
              <w:rPr>
                <w:rFonts w:ascii="Times New Roman" w:hAnsi="Times New Roman" w:eastAsia="宋体"/>
                <w:kern w:val="0"/>
                <w:sz w:val="18"/>
                <w:szCs w:val="18"/>
              </w:rPr>
            </w:pPr>
            <w:r>
              <w:rPr>
                <w:rFonts w:ascii="Times New Roman" w:hAnsi="Times New Roman" w:eastAsia="宋体"/>
                <w:kern w:val="24"/>
                <w:sz w:val="18"/>
                <w:szCs w:val="18"/>
              </w:rPr>
              <w:t>148</w:t>
            </w:r>
          </w:p>
        </w:tc>
        <w:tc>
          <w:tcPr>
            <w:tcW w:w="562" w:type="dxa"/>
            <w:tcBorders>
              <w:top w:val="nil"/>
              <w:bottom w:val="nil"/>
            </w:tcBorders>
            <w:tcMar>
              <w:top w:w="15" w:type="dxa"/>
              <w:left w:w="15" w:type="dxa"/>
              <w:bottom w:w="0" w:type="dxa"/>
              <w:right w:w="15" w:type="dxa"/>
            </w:tcMar>
            <w:vAlign w:val="center"/>
          </w:tcPr>
          <w:p>
            <w:pPr>
              <w:widowControl/>
              <w:spacing w:line="240" w:lineRule="auto"/>
              <w:jc w:val="right"/>
              <w:textAlignment w:val="bottom"/>
              <w:rPr>
                <w:rFonts w:ascii="Times New Roman" w:hAnsi="Times New Roman" w:eastAsia="宋体"/>
                <w:kern w:val="0"/>
                <w:sz w:val="18"/>
                <w:szCs w:val="18"/>
              </w:rPr>
            </w:pPr>
            <w:r>
              <w:rPr>
                <w:rFonts w:ascii="Times New Roman" w:hAnsi="Times New Roman" w:eastAsia="宋体"/>
                <w:kern w:val="24"/>
                <w:sz w:val="18"/>
                <w:szCs w:val="18"/>
              </w:rPr>
              <w:t>152</w:t>
            </w:r>
          </w:p>
        </w:tc>
        <w:tc>
          <w:tcPr>
            <w:tcW w:w="562" w:type="dxa"/>
            <w:tcBorders>
              <w:top w:val="nil"/>
              <w:bottom w:val="nil"/>
            </w:tcBorders>
            <w:tcMar>
              <w:top w:w="15" w:type="dxa"/>
              <w:left w:w="15" w:type="dxa"/>
              <w:bottom w:w="0" w:type="dxa"/>
              <w:right w:w="15" w:type="dxa"/>
            </w:tcMar>
            <w:vAlign w:val="center"/>
          </w:tcPr>
          <w:p>
            <w:pPr>
              <w:widowControl/>
              <w:spacing w:line="240" w:lineRule="auto"/>
              <w:jc w:val="right"/>
              <w:textAlignment w:val="bottom"/>
              <w:rPr>
                <w:rFonts w:ascii="Times New Roman" w:hAnsi="Times New Roman" w:eastAsia="宋体"/>
                <w:kern w:val="0"/>
                <w:sz w:val="18"/>
                <w:szCs w:val="18"/>
              </w:rPr>
            </w:pPr>
            <w:r>
              <w:rPr>
                <w:rFonts w:ascii="Times New Roman" w:hAnsi="Times New Roman" w:eastAsia="宋体"/>
                <w:kern w:val="24"/>
                <w:sz w:val="18"/>
                <w:szCs w:val="18"/>
              </w:rPr>
              <w:t>155</w:t>
            </w:r>
          </w:p>
        </w:tc>
        <w:tc>
          <w:tcPr>
            <w:tcW w:w="562" w:type="dxa"/>
            <w:tcBorders>
              <w:top w:val="nil"/>
              <w:bottom w:val="nil"/>
            </w:tcBorders>
            <w:tcMar>
              <w:top w:w="15" w:type="dxa"/>
              <w:left w:w="15" w:type="dxa"/>
              <w:bottom w:w="0" w:type="dxa"/>
              <w:right w:w="15" w:type="dxa"/>
            </w:tcMar>
            <w:vAlign w:val="center"/>
          </w:tcPr>
          <w:p>
            <w:pPr>
              <w:widowControl/>
              <w:spacing w:line="240" w:lineRule="auto"/>
              <w:jc w:val="right"/>
              <w:textAlignment w:val="bottom"/>
              <w:rPr>
                <w:rFonts w:ascii="Times New Roman" w:hAnsi="Times New Roman" w:eastAsia="宋体"/>
                <w:kern w:val="0"/>
                <w:sz w:val="18"/>
                <w:szCs w:val="18"/>
              </w:rPr>
            </w:pPr>
            <w:r>
              <w:rPr>
                <w:rFonts w:ascii="Times New Roman" w:hAnsi="Times New Roman" w:eastAsia="宋体"/>
                <w:kern w:val="24"/>
                <w:sz w:val="18"/>
                <w:szCs w:val="18"/>
              </w:rPr>
              <w:t>157</w:t>
            </w:r>
          </w:p>
        </w:tc>
        <w:tc>
          <w:tcPr>
            <w:tcW w:w="562" w:type="dxa"/>
            <w:tcBorders>
              <w:top w:val="nil"/>
              <w:bottom w:val="nil"/>
            </w:tcBorders>
            <w:tcMar>
              <w:top w:w="15" w:type="dxa"/>
              <w:left w:w="15" w:type="dxa"/>
              <w:bottom w:w="0" w:type="dxa"/>
              <w:right w:w="15" w:type="dxa"/>
            </w:tcMar>
            <w:vAlign w:val="center"/>
          </w:tcPr>
          <w:p>
            <w:pPr>
              <w:widowControl/>
              <w:spacing w:line="240" w:lineRule="auto"/>
              <w:jc w:val="right"/>
              <w:textAlignment w:val="bottom"/>
              <w:rPr>
                <w:rFonts w:ascii="Times New Roman" w:hAnsi="Times New Roman" w:eastAsia="宋体"/>
                <w:kern w:val="0"/>
                <w:sz w:val="18"/>
                <w:szCs w:val="18"/>
              </w:rPr>
            </w:pPr>
            <w:r>
              <w:rPr>
                <w:rFonts w:ascii="Times New Roman" w:hAnsi="Times New Roman" w:eastAsia="宋体"/>
                <w:kern w:val="24"/>
                <w:sz w:val="18"/>
                <w:szCs w:val="18"/>
              </w:rPr>
              <w:t>159</w:t>
            </w:r>
          </w:p>
        </w:tc>
        <w:tc>
          <w:tcPr>
            <w:tcW w:w="562" w:type="dxa"/>
            <w:tcBorders>
              <w:top w:val="nil"/>
              <w:bottom w:val="nil"/>
            </w:tcBorders>
            <w:tcMar>
              <w:top w:w="15" w:type="dxa"/>
              <w:left w:w="15" w:type="dxa"/>
              <w:bottom w:w="0" w:type="dxa"/>
              <w:right w:w="15" w:type="dxa"/>
            </w:tcMar>
            <w:vAlign w:val="center"/>
          </w:tcPr>
          <w:p>
            <w:pPr>
              <w:widowControl/>
              <w:spacing w:line="240" w:lineRule="auto"/>
              <w:jc w:val="right"/>
              <w:textAlignment w:val="bottom"/>
              <w:rPr>
                <w:rFonts w:ascii="Times New Roman" w:hAnsi="Times New Roman" w:eastAsia="宋体"/>
                <w:kern w:val="0"/>
                <w:sz w:val="18"/>
                <w:szCs w:val="18"/>
              </w:rPr>
            </w:pPr>
            <w:r>
              <w:rPr>
                <w:rFonts w:ascii="Times New Roman" w:hAnsi="Times New Roman" w:eastAsia="宋体"/>
                <w:kern w:val="24"/>
                <w:sz w:val="18"/>
                <w:szCs w:val="18"/>
              </w:rPr>
              <w:t>160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186" w:hRule="atLeast"/>
        </w:trPr>
        <w:tc>
          <w:tcPr>
            <w:tcW w:w="2232" w:type="dxa"/>
            <w:tcBorders>
              <w:top w:val="nil"/>
              <w:bottom w:val="nil"/>
            </w:tcBorders>
            <w:tcMar>
              <w:top w:w="15" w:type="dxa"/>
              <w:left w:w="15" w:type="dxa"/>
              <w:bottom w:w="0" w:type="dxa"/>
              <w:right w:w="15" w:type="dxa"/>
            </w:tcMar>
            <w:vAlign w:val="center"/>
          </w:tcPr>
          <w:p>
            <w:pPr>
              <w:widowControl/>
              <w:spacing w:line="240" w:lineRule="auto"/>
              <w:jc w:val="left"/>
              <w:textAlignment w:val="bottom"/>
              <w:rPr>
                <w:rFonts w:ascii="Times New Roman" w:hAnsi="Times New Roman" w:eastAsia="宋体"/>
                <w:kern w:val="0"/>
                <w:sz w:val="18"/>
                <w:szCs w:val="18"/>
              </w:rPr>
            </w:pPr>
            <w:r>
              <w:rPr>
                <w:rFonts w:ascii="Times New Roman" w:hAnsi="宋体" w:eastAsia="宋体"/>
                <w:kern w:val="24"/>
                <w:sz w:val="18"/>
                <w:szCs w:val="18"/>
              </w:rPr>
              <w:t>活动经代公司产能增长率</w:t>
            </w:r>
          </w:p>
        </w:tc>
        <w:tc>
          <w:tcPr>
            <w:tcW w:w="562" w:type="dxa"/>
            <w:tcBorders>
              <w:top w:val="nil"/>
              <w:bottom w:val="nil"/>
            </w:tcBorders>
            <w:tcMar>
              <w:top w:w="15" w:type="dxa"/>
              <w:left w:w="15" w:type="dxa"/>
              <w:bottom w:w="0" w:type="dxa"/>
              <w:right w:w="15" w:type="dxa"/>
            </w:tcMar>
            <w:vAlign w:val="center"/>
          </w:tcPr>
          <w:p>
            <w:pPr>
              <w:widowControl/>
              <w:spacing w:line="240" w:lineRule="auto"/>
              <w:jc w:val="right"/>
              <w:rPr>
                <w:rFonts w:ascii="Times New Roman" w:hAnsi="Times New Roman" w:eastAsia="宋体"/>
                <w:kern w:val="0"/>
                <w:sz w:val="18"/>
                <w:szCs w:val="18"/>
              </w:rPr>
            </w:pPr>
          </w:p>
        </w:tc>
        <w:tc>
          <w:tcPr>
            <w:tcW w:w="562" w:type="dxa"/>
            <w:tcBorders>
              <w:top w:val="nil"/>
              <w:bottom w:val="nil"/>
            </w:tcBorders>
            <w:tcMar>
              <w:top w:w="15" w:type="dxa"/>
              <w:left w:w="15" w:type="dxa"/>
              <w:bottom w:w="0" w:type="dxa"/>
              <w:right w:w="15" w:type="dxa"/>
            </w:tcMar>
            <w:vAlign w:val="center"/>
          </w:tcPr>
          <w:p>
            <w:pPr>
              <w:widowControl/>
              <w:spacing w:line="240" w:lineRule="auto"/>
              <w:jc w:val="right"/>
              <w:textAlignment w:val="bottom"/>
              <w:rPr>
                <w:rFonts w:ascii="Times New Roman" w:hAnsi="Times New Roman" w:eastAsia="宋体"/>
                <w:kern w:val="0"/>
                <w:sz w:val="18"/>
                <w:szCs w:val="18"/>
              </w:rPr>
            </w:pPr>
            <w:r>
              <w:rPr>
                <w:rFonts w:ascii="Times New Roman" w:hAnsi="Times New Roman" w:eastAsia="宋体"/>
                <w:kern w:val="24"/>
                <w:sz w:val="18"/>
                <w:szCs w:val="18"/>
              </w:rPr>
              <w:t>15%</w:t>
            </w:r>
          </w:p>
        </w:tc>
        <w:tc>
          <w:tcPr>
            <w:tcW w:w="562" w:type="dxa"/>
            <w:tcBorders>
              <w:top w:val="nil"/>
              <w:bottom w:val="nil"/>
            </w:tcBorders>
            <w:tcMar>
              <w:top w:w="15" w:type="dxa"/>
              <w:left w:w="15" w:type="dxa"/>
              <w:bottom w:w="0" w:type="dxa"/>
              <w:right w:w="15" w:type="dxa"/>
            </w:tcMar>
            <w:vAlign w:val="center"/>
          </w:tcPr>
          <w:p>
            <w:pPr>
              <w:widowControl/>
              <w:spacing w:line="240" w:lineRule="auto"/>
              <w:jc w:val="right"/>
              <w:textAlignment w:val="bottom"/>
              <w:rPr>
                <w:rFonts w:ascii="Times New Roman" w:hAnsi="Times New Roman" w:eastAsia="宋体"/>
                <w:kern w:val="0"/>
                <w:sz w:val="18"/>
                <w:szCs w:val="18"/>
              </w:rPr>
            </w:pPr>
            <w:r>
              <w:rPr>
                <w:rFonts w:ascii="Times New Roman" w:hAnsi="Times New Roman" w:eastAsia="宋体"/>
                <w:kern w:val="24"/>
                <w:sz w:val="18"/>
                <w:szCs w:val="18"/>
              </w:rPr>
              <w:t>4%</w:t>
            </w:r>
          </w:p>
        </w:tc>
        <w:tc>
          <w:tcPr>
            <w:tcW w:w="562" w:type="dxa"/>
            <w:tcBorders>
              <w:top w:val="nil"/>
              <w:bottom w:val="nil"/>
            </w:tcBorders>
            <w:tcMar>
              <w:top w:w="15" w:type="dxa"/>
              <w:left w:w="15" w:type="dxa"/>
              <w:bottom w:w="0" w:type="dxa"/>
              <w:right w:w="15" w:type="dxa"/>
            </w:tcMar>
            <w:vAlign w:val="center"/>
          </w:tcPr>
          <w:p>
            <w:pPr>
              <w:widowControl/>
              <w:spacing w:line="240" w:lineRule="auto"/>
              <w:jc w:val="right"/>
              <w:textAlignment w:val="bottom"/>
              <w:rPr>
                <w:rFonts w:ascii="Times New Roman" w:hAnsi="Times New Roman" w:eastAsia="宋体"/>
                <w:kern w:val="0"/>
                <w:sz w:val="18"/>
                <w:szCs w:val="18"/>
              </w:rPr>
            </w:pPr>
            <w:r>
              <w:rPr>
                <w:rFonts w:ascii="Times New Roman" w:hAnsi="Times New Roman" w:eastAsia="宋体"/>
                <w:kern w:val="24"/>
                <w:sz w:val="18"/>
                <w:szCs w:val="18"/>
              </w:rPr>
              <w:t>10%</w:t>
            </w:r>
          </w:p>
        </w:tc>
        <w:tc>
          <w:tcPr>
            <w:tcW w:w="562" w:type="dxa"/>
            <w:tcBorders>
              <w:top w:val="nil"/>
              <w:bottom w:val="nil"/>
            </w:tcBorders>
            <w:tcMar>
              <w:top w:w="15" w:type="dxa"/>
              <w:left w:w="15" w:type="dxa"/>
              <w:bottom w:w="0" w:type="dxa"/>
              <w:right w:w="15" w:type="dxa"/>
            </w:tcMar>
            <w:vAlign w:val="center"/>
          </w:tcPr>
          <w:p>
            <w:pPr>
              <w:widowControl/>
              <w:spacing w:line="240" w:lineRule="auto"/>
              <w:jc w:val="right"/>
              <w:textAlignment w:val="bottom"/>
              <w:rPr>
                <w:rFonts w:ascii="Times New Roman" w:hAnsi="Times New Roman" w:eastAsia="宋体"/>
                <w:kern w:val="0"/>
                <w:sz w:val="18"/>
                <w:szCs w:val="18"/>
              </w:rPr>
            </w:pPr>
            <w:r>
              <w:rPr>
                <w:rFonts w:ascii="Times New Roman" w:hAnsi="Times New Roman" w:eastAsia="宋体"/>
                <w:kern w:val="24"/>
                <w:sz w:val="18"/>
                <w:szCs w:val="18"/>
              </w:rPr>
              <w:t>4%</w:t>
            </w:r>
          </w:p>
        </w:tc>
        <w:tc>
          <w:tcPr>
            <w:tcW w:w="562" w:type="dxa"/>
            <w:tcBorders>
              <w:top w:val="nil"/>
              <w:bottom w:val="nil"/>
            </w:tcBorders>
            <w:tcMar>
              <w:top w:w="15" w:type="dxa"/>
              <w:left w:w="15" w:type="dxa"/>
              <w:bottom w:w="0" w:type="dxa"/>
              <w:right w:w="15" w:type="dxa"/>
            </w:tcMar>
            <w:vAlign w:val="center"/>
          </w:tcPr>
          <w:p>
            <w:pPr>
              <w:widowControl/>
              <w:spacing w:line="240" w:lineRule="auto"/>
              <w:jc w:val="right"/>
              <w:textAlignment w:val="bottom"/>
              <w:rPr>
                <w:rFonts w:ascii="Times New Roman" w:hAnsi="Times New Roman" w:eastAsia="宋体"/>
                <w:kern w:val="0"/>
                <w:sz w:val="18"/>
                <w:szCs w:val="18"/>
              </w:rPr>
            </w:pPr>
            <w:r>
              <w:rPr>
                <w:rFonts w:ascii="Times New Roman" w:hAnsi="Times New Roman" w:eastAsia="宋体"/>
                <w:kern w:val="24"/>
                <w:sz w:val="18"/>
                <w:szCs w:val="18"/>
              </w:rPr>
              <w:t>3%</w:t>
            </w:r>
          </w:p>
        </w:tc>
        <w:tc>
          <w:tcPr>
            <w:tcW w:w="562" w:type="dxa"/>
            <w:tcBorders>
              <w:top w:val="nil"/>
              <w:bottom w:val="nil"/>
            </w:tcBorders>
            <w:tcMar>
              <w:top w:w="15" w:type="dxa"/>
              <w:left w:w="15" w:type="dxa"/>
              <w:bottom w:w="0" w:type="dxa"/>
              <w:right w:w="15" w:type="dxa"/>
            </w:tcMar>
            <w:vAlign w:val="center"/>
          </w:tcPr>
          <w:p>
            <w:pPr>
              <w:widowControl/>
              <w:spacing w:line="240" w:lineRule="auto"/>
              <w:jc w:val="right"/>
              <w:textAlignment w:val="bottom"/>
              <w:rPr>
                <w:rFonts w:ascii="Times New Roman" w:hAnsi="Times New Roman" w:eastAsia="宋体"/>
                <w:kern w:val="0"/>
                <w:sz w:val="18"/>
                <w:szCs w:val="18"/>
              </w:rPr>
            </w:pPr>
            <w:r>
              <w:rPr>
                <w:rFonts w:ascii="Times New Roman" w:hAnsi="Times New Roman" w:eastAsia="宋体"/>
                <w:kern w:val="24"/>
                <w:sz w:val="18"/>
                <w:szCs w:val="18"/>
              </w:rPr>
              <w:t>3%</w:t>
            </w:r>
          </w:p>
        </w:tc>
        <w:tc>
          <w:tcPr>
            <w:tcW w:w="562" w:type="dxa"/>
            <w:tcBorders>
              <w:top w:val="nil"/>
              <w:bottom w:val="nil"/>
            </w:tcBorders>
            <w:tcMar>
              <w:top w:w="15" w:type="dxa"/>
              <w:left w:w="15" w:type="dxa"/>
              <w:bottom w:w="0" w:type="dxa"/>
              <w:right w:w="15" w:type="dxa"/>
            </w:tcMar>
            <w:vAlign w:val="center"/>
          </w:tcPr>
          <w:p>
            <w:pPr>
              <w:widowControl/>
              <w:spacing w:line="240" w:lineRule="auto"/>
              <w:jc w:val="right"/>
              <w:textAlignment w:val="bottom"/>
              <w:rPr>
                <w:rFonts w:ascii="Times New Roman" w:hAnsi="Times New Roman" w:eastAsia="宋体"/>
                <w:kern w:val="0"/>
                <w:sz w:val="18"/>
                <w:szCs w:val="18"/>
              </w:rPr>
            </w:pPr>
            <w:r>
              <w:rPr>
                <w:rFonts w:ascii="Times New Roman" w:hAnsi="Times New Roman" w:eastAsia="宋体"/>
                <w:kern w:val="24"/>
                <w:sz w:val="18"/>
                <w:szCs w:val="18"/>
              </w:rPr>
              <w:t>2%</w:t>
            </w:r>
          </w:p>
        </w:tc>
        <w:tc>
          <w:tcPr>
            <w:tcW w:w="562" w:type="dxa"/>
            <w:tcBorders>
              <w:top w:val="nil"/>
              <w:bottom w:val="nil"/>
            </w:tcBorders>
            <w:tcMar>
              <w:top w:w="15" w:type="dxa"/>
              <w:left w:w="15" w:type="dxa"/>
              <w:bottom w:w="0" w:type="dxa"/>
              <w:right w:w="15" w:type="dxa"/>
            </w:tcMar>
            <w:vAlign w:val="center"/>
          </w:tcPr>
          <w:p>
            <w:pPr>
              <w:widowControl/>
              <w:spacing w:line="240" w:lineRule="auto"/>
              <w:jc w:val="right"/>
              <w:textAlignment w:val="bottom"/>
              <w:rPr>
                <w:rFonts w:ascii="Times New Roman" w:hAnsi="Times New Roman" w:eastAsia="宋体"/>
                <w:kern w:val="0"/>
                <w:sz w:val="18"/>
                <w:szCs w:val="18"/>
              </w:rPr>
            </w:pPr>
            <w:r>
              <w:rPr>
                <w:rFonts w:ascii="Times New Roman" w:hAnsi="Times New Roman" w:eastAsia="宋体"/>
                <w:kern w:val="24"/>
                <w:sz w:val="18"/>
                <w:szCs w:val="18"/>
              </w:rPr>
              <w:t>2%</w:t>
            </w:r>
          </w:p>
        </w:tc>
        <w:tc>
          <w:tcPr>
            <w:tcW w:w="562" w:type="dxa"/>
            <w:tcBorders>
              <w:top w:val="nil"/>
              <w:bottom w:val="nil"/>
            </w:tcBorders>
            <w:tcMar>
              <w:top w:w="15" w:type="dxa"/>
              <w:left w:w="15" w:type="dxa"/>
              <w:bottom w:w="0" w:type="dxa"/>
              <w:right w:w="15" w:type="dxa"/>
            </w:tcMar>
            <w:vAlign w:val="center"/>
          </w:tcPr>
          <w:p>
            <w:pPr>
              <w:widowControl/>
              <w:spacing w:line="240" w:lineRule="auto"/>
              <w:jc w:val="right"/>
              <w:textAlignment w:val="bottom"/>
              <w:rPr>
                <w:rFonts w:ascii="Times New Roman" w:hAnsi="Times New Roman" w:eastAsia="宋体"/>
                <w:kern w:val="0"/>
                <w:sz w:val="18"/>
                <w:szCs w:val="18"/>
              </w:rPr>
            </w:pPr>
            <w:r>
              <w:rPr>
                <w:rFonts w:ascii="Times New Roman" w:hAnsi="Times New Roman" w:eastAsia="宋体"/>
                <w:kern w:val="24"/>
                <w:sz w:val="18"/>
                <w:szCs w:val="18"/>
              </w:rPr>
              <w:t>1%</w:t>
            </w:r>
          </w:p>
        </w:tc>
        <w:tc>
          <w:tcPr>
            <w:tcW w:w="562" w:type="dxa"/>
            <w:tcBorders>
              <w:top w:val="nil"/>
              <w:bottom w:val="nil"/>
            </w:tcBorders>
            <w:tcMar>
              <w:top w:w="15" w:type="dxa"/>
              <w:left w:w="15" w:type="dxa"/>
              <w:bottom w:w="0" w:type="dxa"/>
              <w:right w:w="15" w:type="dxa"/>
            </w:tcMar>
            <w:vAlign w:val="center"/>
          </w:tcPr>
          <w:p>
            <w:pPr>
              <w:widowControl/>
              <w:spacing w:line="240" w:lineRule="auto"/>
              <w:jc w:val="right"/>
              <w:textAlignment w:val="bottom"/>
              <w:rPr>
                <w:rFonts w:ascii="Times New Roman" w:hAnsi="Times New Roman" w:eastAsia="宋体"/>
                <w:kern w:val="0"/>
                <w:sz w:val="18"/>
                <w:szCs w:val="18"/>
              </w:rPr>
            </w:pPr>
            <w:r>
              <w:rPr>
                <w:rFonts w:ascii="Times New Roman" w:hAnsi="Times New Roman" w:eastAsia="宋体"/>
                <w:kern w:val="24"/>
                <w:sz w:val="18"/>
                <w:szCs w:val="18"/>
              </w:rPr>
              <w:t>1%</w:t>
            </w:r>
          </w:p>
        </w:tc>
        <w:tc>
          <w:tcPr>
            <w:tcW w:w="562" w:type="dxa"/>
            <w:tcBorders>
              <w:top w:val="nil"/>
              <w:bottom w:val="nil"/>
            </w:tcBorders>
            <w:tcMar>
              <w:top w:w="15" w:type="dxa"/>
              <w:left w:w="15" w:type="dxa"/>
              <w:bottom w:w="0" w:type="dxa"/>
              <w:right w:w="15" w:type="dxa"/>
            </w:tcMar>
            <w:vAlign w:val="center"/>
          </w:tcPr>
          <w:p>
            <w:pPr>
              <w:widowControl/>
              <w:spacing w:line="240" w:lineRule="auto"/>
              <w:jc w:val="right"/>
              <w:textAlignment w:val="bottom"/>
              <w:rPr>
                <w:rFonts w:ascii="Times New Roman" w:hAnsi="Times New Roman" w:eastAsia="宋体"/>
                <w:kern w:val="0"/>
                <w:sz w:val="18"/>
                <w:szCs w:val="18"/>
              </w:rPr>
            </w:pPr>
            <w:r>
              <w:rPr>
                <w:rFonts w:ascii="Times New Roman" w:hAnsi="Times New Roman" w:eastAsia="宋体"/>
                <w:kern w:val="24"/>
                <w:sz w:val="18"/>
                <w:szCs w:val="18"/>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186" w:hRule="atLeast"/>
        </w:trPr>
        <w:tc>
          <w:tcPr>
            <w:tcW w:w="2232" w:type="dxa"/>
            <w:tcBorders>
              <w:top w:val="nil"/>
              <w:bottom w:val="nil"/>
            </w:tcBorders>
            <w:tcMar>
              <w:top w:w="15" w:type="dxa"/>
              <w:left w:w="15" w:type="dxa"/>
              <w:bottom w:w="0" w:type="dxa"/>
              <w:right w:w="15" w:type="dxa"/>
            </w:tcMar>
            <w:vAlign w:val="center"/>
          </w:tcPr>
          <w:p>
            <w:pPr>
              <w:widowControl/>
              <w:spacing w:line="240" w:lineRule="auto"/>
              <w:jc w:val="left"/>
              <w:textAlignment w:val="bottom"/>
              <w:rPr>
                <w:rFonts w:ascii="Times New Roman" w:hAnsi="Times New Roman" w:eastAsia="宋体"/>
                <w:kern w:val="0"/>
                <w:sz w:val="18"/>
                <w:szCs w:val="18"/>
              </w:rPr>
            </w:pPr>
            <w:r>
              <w:rPr>
                <w:rFonts w:ascii="Times New Roman" w:hAnsi="Times New Roman" w:eastAsia="宋体"/>
                <w:kern w:val="24"/>
                <w:sz w:val="18"/>
                <w:szCs w:val="18"/>
              </w:rPr>
              <w:t>ANP</w:t>
            </w:r>
            <w:r>
              <w:rPr>
                <w:rFonts w:ascii="Times New Roman" w:hAnsi="宋体" w:eastAsia="宋体"/>
                <w:kern w:val="24"/>
                <w:sz w:val="18"/>
                <w:szCs w:val="18"/>
              </w:rPr>
              <w:t>（百万元）</w:t>
            </w:r>
          </w:p>
        </w:tc>
        <w:tc>
          <w:tcPr>
            <w:tcW w:w="562" w:type="dxa"/>
            <w:tcBorders>
              <w:top w:val="nil"/>
              <w:bottom w:val="nil"/>
            </w:tcBorders>
            <w:tcMar>
              <w:top w:w="15" w:type="dxa"/>
              <w:left w:w="15" w:type="dxa"/>
              <w:bottom w:w="0" w:type="dxa"/>
              <w:right w:w="15" w:type="dxa"/>
            </w:tcMar>
            <w:vAlign w:val="center"/>
          </w:tcPr>
          <w:p>
            <w:pPr>
              <w:widowControl/>
              <w:spacing w:line="240" w:lineRule="auto"/>
              <w:jc w:val="right"/>
              <w:textAlignment w:val="bottom"/>
              <w:rPr>
                <w:rFonts w:ascii="Times New Roman" w:hAnsi="Times New Roman" w:eastAsia="宋体"/>
                <w:kern w:val="0"/>
                <w:sz w:val="18"/>
                <w:szCs w:val="18"/>
              </w:rPr>
            </w:pPr>
            <w:r>
              <w:rPr>
                <w:rFonts w:ascii="Times New Roman" w:hAnsi="Times New Roman" w:eastAsia="宋体"/>
                <w:kern w:val="24"/>
                <w:sz w:val="18"/>
                <w:szCs w:val="18"/>
              </w:rPr>
              <w:t>44</w:t>
            </w:r>
          </w:p>
        </w:tc>
        <w:tc>
          <w:tcPr>
            <w:tcW w:w="562" w:type="dxa"/>
            <w:tcBorders>
              <w:top w:val="nil"/>
              <w:bottom w:val="nil"/>
            </w:tcBorders>
            <w:tcMar>
              <w:top w:w="15" w:type="dxa"/>
              <w:left w:w="15" w:type="dxa"/>
              <w:bottom w:w="0" w:type="dxa"/>
              <w:right w:w="15" w:type="dxa"/>
            </w:tcMar>
            <w:vAlign w:val="center"/>
          </w:tcPr>
          <w:p>
            <w:pPr>
              <w:widowControl/>
              <w:spacing w:line="240" w:lineRule="auto"/>
              <w:jc w:val="right"/>
              <w:textAlignment w:val="bottom"/>
              <w:rPr>
                <w:rFonts w:ascii="Times New Roman" w:hAnsi="Times New Roman" w:eastAsia="宋体"/>
                <w:kern w:val="0"/>
                <w:sz w:val="18"/>
                <w:szCs w:val="18"/>
              </w:rPr>
            </w:pPr>
            <w:r>
              <w:rPr>
                <w:rFonts w:ascii="Times New Roman" w:hAnsi="Times New Roman" w:eastAsia="宋体"/>
                <w:kern w:val="24"/>
                <w:sz w:val="18"/>
                <w:szCs w:val="18"/>
              </w:rPr>
              <w:t>59</w:t>
            </w:r>
          </w:p>
        </w:tc>
        <w:tc>
          <w:tcPr>
            <w:tcW w:w="562" w:type="dxa"/>
            <w:tcBorders>
              <w:top w:val="nil"/>
              <w:bottom w:val="nil"/>
            </w:tcBorders>
            <w:tcMar>
              <w:top w:w="15" w:type="dxa"/>
              <w:left w:w="15" w:type="dxa"/>
              <w:bottom w:w="0" w:type="dxa"/>
              <w:right w:w="15" w:type="dxa"/>
            </w:tcMar>
            <w:vAlign w:val="center"/>
          </w:tcPr>
          <w:p>
            <w:pPr>
              <w:widowControl/>
              <w:spacing w:line="240" w:lineRule="auto"/>
              <w:jc w:val="right"/>
              <w:textAlignment w:val="bottom"/>
              <w:rPr>
                <w:rFonts w:ascii="Times New Roman" w:hAnsi="Times New Roman" w:eastAsia="宋体"/>
                <w:kern w:val="0"/>
                <w:sz w:val="18"/>
                <w:szCs w:val="18"/>
              </w:rPr>
            </w:pPr>
            <w:r>
              <w:rPr>
                <w:rFonts w:ascii="Times New Roman" w:hAnsi="Times New Roman" w:eastAsia="宋体"/>
                <w:kern w:val="24"/>
                <w:sz w:val="18"/>
                <w:szCs w:val="18"/>
              </w:rPr>
              <w:t>68</w:t>
            </w:r>
          </w:p>
        </w:tc>
        <w:tc>
          <w:tcPr>
            <w:tcW w:w="562" w:type="dxa"/>
            <w:tcBorders>
              <w:top w:val="nil"/>
              <w:bottom w:val="nil"/>
            </w:tcBorders>
            <w:tcMar>
              <w:top w:w="15" w:type="dxa"/>
              <w:left w:w="15" w:type="dxa"/>
              <w:bottom w:w="0" w:type="dxa"/>
              <w:right w:w="15" w:type="dxa"/>
            </w:tcMar>
            <w:vAlign w:val="center"/>
          </w:tcPr>
          <w:p>
            <w:pPr>
              <w:widowControl/>
              <w:spacing w:line="240" w:lineRule="auto"/>
              <w:jc w:val="right"/>
              <w:textAlignment w:val="bottom"/>
              <w:rPr>
                <w:rFonts w:ascii="Times New Roman" w:hAnsi="Times New Roman" w:eastAsia="宋体"/>
                <w:kern w:val="0"/>
                <w:sz w:val="18"/>
                <w:szCs w:val="18"/>
              </w:rPr>
            </w:pPr>
            <w:r>
              <w:rPr>
                <w:rFonts w:ascii="Times New Roman" w:hAnsi="Times New Roman" w:eastAsia="宋体"/>
                <w:kern w:val="24"/>
                <w:sz w:val="18"/>
                <w:szCs w:val="18"/>
              </w:rPr>
              <w:t>86</w:t>
            </w:r>
          </w:p>
        </w:tc>
        <w:tc>
          <w:tcPr>
            <w:tcW w:w="562" w:type="dxa"/>
            <w:tcBorders>
              <w:top w:val="nil"/>
              <w:bottom w:val="nil"/>
            </w:tcBorders>
            <w:tcMar>
              <w:top w:w="15" w:type="dxa"/>
              <w:left w:w="15" w:type="dxa"/>
              <w:bottom w:w="0" w:type="dxa"/>
              <w:right w:w="15" w:type="dxa"/>
            </w:tcMar>
            <w:vAlign w:val="center"/>
          </w:tcPr>
          <w:p>
            <w:pPr>
              <w:widowControl/>
              <w:spacing w:line="240" w:lineRule="auto"/>
              <w:jc w:val="right"/>
              <w:textAlignment w:val="bottom"/>
              <w:rPr>
                <w:rFonts w:ascii="Times New Roman" w:hAnsi="Times New Roman" w:eastAsia="宋体"/>
                <w:kern w:val="0"/>
                <w:sz w:val="18"/>
                <w:szCs w:val="18"/>
              </w:rPr>
            </w:pPr>
            <w:r>
              <w:rPr>
                <w:rFonts w:ascii="Times New Roman" w:hAnsi="Times New Roman" w:eastAsia="宋体"/>
                <w:kern w:val="24"/>
                <w:sz w:val="18"/>
                <w:szCs w:val="18"/>
              </w:rPr>
              <w:t>97</w:t>
            </w:r>
          </w:p>
        </w:tc>
        <w:tc>
          <w:tcPr>
            <w:tcW w:w="562" w:type="dxa"/>
            <w:tcBorders>
              <w:top w:val="nil"/>
              <w:bottom w:val="nil"/>
            </w:tcBorders>
            <w:tcMar>
              <w:top w:w="15" w:type="dxa"/>
              <w:left w:w="15" w:type="dxa"/>
              <w:bottom w:w="0" w:type="dxa"/>
              <w:right w:w="15" w:type="dxa"/>
            </w:tcMar>
            <w:vAlign w:val="center"/>
          </w:tcPr>
          <w:p>
            <w:pPr>
              <w:widowControl/>
              <w:spacing w:line="240" w:lineRule="auto"/>
              <w:jc w:val="right"/>
              <w:textAlignment w:val="bottom"/>
              <w:rPr>
                <w:rFonts w:ascii="Times New Roman" w:hAnsi="Times New Roman" w:eastAsia="宋体"/>
                <w:kern w:val="0"/>
                <w:sz w:val="18"/>
                <w:szCs w:val="18"/>
              </w:rPr>
            </w:pPr>
            <w:r>
              <w:rPr>
                <w:rFonts w:ascii="Times New Roman" w:hAnsi="Times New Roman" w:eastAsia="宋体"/>
                <w:kern w:val="24"/>
                <w:sz w:val="18"/>
                <w:szCs w:val="18"/>
              </w:rPr>
              <w:t>109</w:t>
            </w:r>
          </w:p>
        </w:tc>
        <w:tc>
          <w:tcPr>
            <w:tcW w:w="562" w:type="dxa"/>
            <w:tcBorders>
              <w:top w:val="nil"/>
              <w:bottom w:val="nil"/>
            </w:tcBorders>
            <w:tcMar>
              <w:top w:w="15" w:type="dxa"/>
              <w:left w:w="15" w:type="dxa"/>
              <w:bottom w:w="0" w:type="dxa"/>
              <w:right w:w="15" w:type="dxa"/>
            </w:tcMar>
            <w:vAlign w:val="center"/>
          </w:tcPr>
          <w:p>
            <w:pPr>
              <w:widowControl/>
              <w:spacing w:line="240" w:lineRule="auto"/>
              <w:jc w:val="right"/>
              <w:textAlignment w:val="bottom"/>
              <w:rPr>
                <w:rFonts w:ascii="Times New Roman" w:hAnsi="Times New Roman" w:eastAsia="宋体"/>
                <w:kern w:val="0"/>
                <w:sz w:val="18"/>
                <w:szCs w:val="18"/>
              </w:rPr>
            </w:pPr>
            <w:r>
              <w:rPr>
                <w:rFonts w:ascii="Times New Roman" w:hAnsi="Times New Roman" w:eastAsia="宋体"/>
                <w:kern w:val="24"/>
                <w:sz w:val="18"/>
                <w:szCs w:val="18"/>
              </w:rPr>
              <w:t>121</w:t>
            </w:r>
          </w:p>
        </w:tc>
        <w:tc>
          <w:tcPr>
            <w:tcW w:w="562" w:type="dxa"/>
            <w:tcBorders>
              <w:top w:val="nil"/>
              <w:bottom w:val="nil"/>
            </w:tcBorders>
            <w:tcMar>
              <w:top w:w="15" w:type="dxa"/>
              <w:left w:w="15" w:type="dxa"/>
              <w:bottom w:w="0" w:type="dxa"/>
              <w:right w:w="15" w:type="dxa"/>
            </w:tcMar>
            <w:vAlign w:val="center"/>
          </w:tcPr>
          <w:p>
            <w:pPr>
              <w:widowControl/>
              <w:spacing w:line="240" w:lineRule="auto"/>
              <w:jc w:val="right"/>
              <w:textAlignment w:val="bottom"/>
              <w:rPr>
                <w:rFonts w:ascii="Times New Roman" w:hAnsi="Times New Roman" w:eastAsia="宋体"/>
                <w:kern w:val="0"/>
                <w:sz w:val="18"/>
                <w:szCs w:val="18"/>
              </w:rPr>
            </w:pPr>
            <w:r>
              <w:rPr>
                <w:rFonts w:ascii="Times New Roman" w:hAnsi="Times New Roman" w:eastAsia="宋体"/>
                <w:kern w:val="24"/>
                <w:sz w:val="18"/>
                <w:szCs w:val="18"/>
              </w:rPr>
              <w:t>133</w:t>
            </w:r>
          </w:p>
        </w:tc>
        <w:tc>
          <w:tcPr>
            <w:tcW w:w="562" w:type="dxa"/>
            <w:tcBorders>
              <w:top w:val="nil"/>
              <w:bottom w:val="nil"/>
            </w:tcBorders>
            <w:tcMar>
              <w:top w:w="15" w:type="dxa"/>
              <w:left w:w="15" w:type="dxa"/>
              <w:bottom w:w="0" w:type="dxa"/>
              <w:right w:w="15" w:type="dxa"/>
            </w:tcMar>
            <w:vAlign w:val="center"/>
          </w:tcPr>
          <w:p>
            <w:pPr>
              <w:widowControl/>
              <w:spacing w:line="240" w:lineRule="auto"/>
              <w:jc w:val="right"/>
              <w:textAlignment w:val="bottom"/>
              <w:rPr>
                <w:rFonts w:ascii="Times New Roman" w:hAnsi="Times New Roman" w:eastAsia="宋体"/>
                <w:kern w:val="0"/>
                <w:sz w:val="18"/>
                <w:szCs w:val="18"/>
              </w:rPr>
            </w:pPr>
            <w:r>
              <w:rPr>
                <w:rFonts w:ascii="Times New Roman" w:hAnsi="Times New Roman" w:eastAsia="宋体"/>
                <w:kern w:val="24"/>
                <w:sz w:val="18"/>
                <w:szCs w:val="18"/>
              </w:rPr>
              <w:t>145</w:t>
            </w:r>
          </w:p>
        </w:tc>
        <w:tc>
          <w:tcPr>
            <w:tcW w:w="562" w:type="dxa"/>
            <w:tcBorders>
              <w:top w:val="nil"/>
              <w:bottom w:val="nil"/>
            </w:tcBorders>
            <w:tcMar>
              <w:top w:w="15" w:type="dxa"/>
              <w:left w:w="15" w:type="dxa"/>
              <w:bottom w:w="0" w:type="dxa"/>
              <w:right w:w="15" w:type="dxa"/>
            </w:tcMar>
            <w:vAlign w:val="center"/>
          </w:tcPr>
          <w:p>
            <w:pPr>
              <w:widowControl/>
              <w:spacing w:line="240" w:lineRule="auto"/>
              <w:jc w:val="right"/>
              <w:textAlignment w:val="bottom"/>
              <w:rPr>
                <w:rFonts w:ascii="Times New Roman" w:hAnsi="Times New Roman" w:eastAsia="宋体"/>
                <w:kern w:val="0"/>
                <w:sz w:val="18"/>
                <w:szCs w:val="18"/>
              </w:rPr>
            </w:pPr>
            <w:r>
              <w:rPr>
                <w:rFonts w:ascii="Times New Roman" w:hAnsi="Times New Roman" w:eastAsia="宋体"/>
                <w:kern w:val="24"/>
                <w:sz w:val="18"/>
                <w:szCs w:val="18"/>
              </w:rPr>
              <w:t>156</w:t>
            </w:r>
          </w:p>
        </w:tc>
        <w:tc>
          <w:tcPr>
            <w:tcW w:w="562" w:type="dxa"/>
            <w:tcBorders>
              <w:top w:val="nil"/>
              <w:bottom w:val="nil"/>
            </w:tcBorders>
            <w:tcMar>
              <w:top w:w="15" w:type="dxa"/>
              <w:left w:w="15" w:type="dxa"/>
              <w:bottom w:w="0" w:type="dxa"/>
              <w:right w:w="15" w:type="dxa"/>
            </w:tcMar>
            <w:vAlign w:val="center"/>
          </w:tcPr>
          <w:p>
            <w:pPr>
              <w:widowControl/>
              <w:spacing w:line="240" w:lineRule="auto"/>
              <w:jc w:val="right"/>
              <w:textAlignment w:val="bottom"/>
              <w:rPr>
                <w:rFonts w:ascii="Times New Roman" w:hAnsi="Times New Roman" w:eastAsia="宋体"/>
                <w:kern w:val="0"/>
                <w:sz w:val="18"/>
                <w:szCs w:val="18"/>
              </w:rPr>
            </w:pPr>
            <w:r>
              <w:rPr>
                <w:rFonts w:ascii="Times New Roman" w:hAnsi="Times New Roman" w:eastAsia="宋体"/>
                <w:kern w:val="24"/>
                <w:sz w:val="18"/>
                <w:szCs w:val="18"/>
              </w:rPr>
              <w:t>167</w:t>
            </w:r>
          </w:p>
        </w:tc>
        <w:tc>
          <w:tcPr>
            <w:tcW w:w="562" w:type="dxa"/>
            <w:tcBorders>
              <w:top w:val="nil"/>
              <w:bottom w:val="nil"/>
            </w:tcBorders>
            <w:tcMar>
              <w:top w:w="15" w:type="dxa"/>
              <w:left w:w="15" w:type="dxa"/>
              <w:bottom w:w="0" w:type="dxa"/>
              <w:right w:w="15" w:type="dxa"/>
            </w:tcMar>
            <w:vAlign w:val="center"/>
          </w:tcPr>
          <w:p>
            <w:pPr>
              <w:widowControl/>
              <w:spacing w:line="240" w:lineRule="auto"/>
              <w:jc w:val="right"/>
              <w:textAlignment w:val="bottom"/>
              <w:rPr>
                <w:rFonts w:ascii="Times New Roman" w:hAnsi="Times New Roman" w:eastAsia="宋体"/>
                <w:kern w:val="0"/>
                <w:sz w:val="18"/>
                <w:szCs w:val="18"/>
              </w:rPr>
            </w:pPr>
            <w:r>
              <w:rPr>
                <w:rFonts w:ascii="Times New Roman" w:hAnsi="Times New Roman" w:eastAsia="宋体"/>
                <w:kern w:val="24"/>
                <w:sz w:val="18"/>
                <w:szCs w:val="18"/>
              </w:rPr>
              <w:t>177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197" w:hRule="atLeast"/>
        </w:trPr>
        <w:tc>
          <w:tcPr>
            <w:tcW w:w="2232" w:type="dxa"/>
            <w:tcBorders>
              <w:top w:val="nil"/>
              <w:bottom w:val="single" w:color="auto" w:sz="4" w:space="0"/>
            </w:tcBorders>
            <w:tcMar>
              <w:top w:w="15" w:type="dxa"/>
              <w:left w:w="15" w:type="dxa"/>
              <w:bottom w:w="0" w:type="dxa"/>
              <w:right w:w="15" w:type="dxa"/>
            </w:tcMar>
            <w:vAlign w:val="center"/>
          </w:tcPr>
          <w:p>
            <w:pPr>
              <w:widowControl/>
              <w:spacing w:line="240" w:lineRule="auto"/>
              <w:jc w:val="left"/>
              <w:textAlignment w:val="bottom"/>
              <w:rPr>
                <w:rFonts w:ascii="Times New Roman" w:hAnsi="Times New Roman" w:eastAsia="宋体"/>
                <w:kern w:val="0"/>
                <w:sz w:val="18"/>
                <w:szCs w:val="18"/>
              </w:rPr>
            </w:pPr>
            <w:r>
              <w:rPr>
                <w:rFonts w:ascii="Times New Roman" w:hAnsi="Times New Roman" w:eastAsia="宋体"/>
                <w:b/>
                <w:bCs/>
                <w:kern w:val="24"/>
                <w:sz w:val="18"/>
                <w:szCs w:val="18"/>
              </w:rPr>
              <w:t>ANP</w:t>
            </w:r>
            <w:r>
              <w:rPr>
                <w:rFonts w:ascii="Times New Roman" w:hAnsi="宋体" w:eastAsia="宋体"/>
                <w:b/>
                <w:bCs/>
                <w:kern w:val="24"/>
                <w:sz w:val="18"/>
                <w:szCs w:val="18"/>
              </w:rPr>
              <w:t>合计</w:t>
            </w:r>
          </w:p>
        </w:tc>
        <w:tc>
          <w:tcPr>
            <w:tcW w:w="562" w:type="dxa"/>
            <w:tcBorders>
              <w:top w:val="nil"/>
              <w:bottom w:val="single" w:color="auto" w:sz="4" w:space="0"/>
            </w:tcBorders>
            <w:tcMar>
              <w:top w:w="15" w:type="dxa"/>
              <w:left w:w="15" w:type="dxa"/>
              <w:bottom w:w="0" w:type="dxa"/>
              <w:right w:w="15" w:type="dxa"/>
            </w:tcMar>
            <w:vAlign w:val="center"/>
          </w:tcPr>
          <w:p>
            <w:pPr>
              <w:widowControl/>
              <w:spacing w:line="240" w:lineRule="auto"/>
              <w:jc w:val="right"/>
              <w:textAlignment w:val="bottom"/>
              <w:rPr>
                <w:rFonts w:ascii="Times New Roman" w:hAnsi="Times New Roman" w:eastAsia="宋体"/>
                <w:kern w:val="0"/>
                <w:sz w:val="18"/>
                <w:szCs w:val="18"/>
              </w:rPr>
            </w:pPr>
            <w:r>
              <w:rPr>
                <w:rFonts w:ascii="Times New Roman" w:hAnsi="Times New Roman" w:eastAsia="宋体"/>
                <w:b/>
                <w:bCs/>
                <w:kern w:val="24"/>
                <w:sz w:val="18"/>
                <w:szCs w:val="18"/>
              </w:rPr>
              <w:t>554</w:t>
            </w:r>
          </w:p>
        </w:tc>
        <w:tc>
          <w:tcPr>
            <w:tcW w:w="562" w:type="dxa"/>
            <w:tcBorders>
              <w:top w:val="nil"/>
              <w:bottom w:val="single" w:color="auto" w:sz="4" w:space="0"/>
            </w:tcBorders>
            <w:tcMar>
              <w:top w:w="15" w:type="dxa"/>
              <w:left w:w="15" w:type="dxa"/>
              <w:bottom w:w="0" w:type="dxa"/>
              <w:right w:w="15" w:type="dxa"/>
            </w:tcMar>
            <w:vAlign w:val="center"/>
          </w:tcPr>
          <w:p>
            <w:pPr>
              <w:widowControl/>
              <w:spacing w:line="240" w:lineRule="auto"/>
              <w:jc w:val="right"/>
              <w:textAlignment w:val="bottom"/>
              <w:rPr>
                <w:rFonts w:ascii="Times New Roman" w:hAnsi="Times New Roman" w:eastAsia="宋体"/>
                <w:kern w:val="0"/>
                <w:sz w:val="18"/>
                <w:szCs w:val="18"/>
              </w:rPr>
            </w:pPr>
            <w:r>
              <w:rPr>
                <w:rFonts w:ascii="Times New Roman" w:hAnsi="Times New Roman" w:eastAsia="宋体"/>
                <w:b/>
                <w:bCs/>
                <w:kern w:val="24"/>
                <w:sz w:val="18"/>
                <w:szCs w:val="18"/>
              </w:rPr>
              <w:t>650</w:t>
            </w:r>
          </w:p>
        </w:tc>
        <w:tc>
          <w:tcPr>
            <w:tcW w:w="562" w:type="dxa"/>
            <w:tcBorders>
              <w:top w:val="nil"/>
              <w:bottom w:val="single" w:color="auto" w:sz="4" w:space="0"/>
            </w:tcBorders>
            <w:tcMar>
              <w:top w:w="15" w:type="dxa"/>
              <w:left w:w="15" w:type="dxa"/>
              <w:bottom w:w="0" w:type="dxa"/>
              <w:right w:w="15" w:type="dxa"/>
            </w:tcMar>
            <w:vAlign w:val="center"/>
          </w:tcPr>
          <w:p>
            <w:pPr>
              <w:widowControl/>
              <w:spacing w:line="240" w:lineRule="auto"/>
              <w:jc w:val="right"/>
              <w:textAlignment w:val="bottom"/>
              <w:rPr>
                <w:rFonts w:ascii="Times New Roman" w:hAnsi="Times New Roman" w:eastAsia="宋体"/>
                <w:kern w:val="0"/>
                <w:sz w:val="18"/>
                <w:szCs w:val="18"/>
              </w:rPr>
            </w:pPr>
            <w:r>
              <w:rPr>
                <w:rFonts w:ascii="Times New Roman" w:hAnsi="Times New Roman" w:eastAsia="宋体"/>
                <w:b/>
                <w:bCs/>
                <w:kern w:val="24"/>
                <w:sz w:val="18"/>
                <w:szCs w:val="18"/>
              </w:rPr>
              <w:t>754</w:t>
            </w:r>
          </w:p>
        </w:tc>
        <w:tc>
          <w:tcPr>
            <w:tcW w:w="562" w:type="dxa"/>
            <w:tcBorders>
              <w:top w:val="nil"/>
              <w:bottom w:val="single" w:color="auto" w:sz="4" w:space="0"/>
            </w:tcBorders>
            <w:tcMar>
              <w:top w:w="15" w:type="dxa"/>
              <w:left w:w="15" w:type="dxa"/>
              <w:bottom w:w="0" w:type="dxa"/>
              <w:right w:w="15" w:type="dxa"/>
            </w:tcMar>
            <w:vAlign w:val="center"/>
          </w:tcPr>
          <w:p>
            <w:pPr>
              <w:widowControl/>
              <w:spacing w:line="240" w:lineRule="auto"/>
              <w:jc w:val="right"/>
              <w:textAlignment w:val="bottom"/>
              <w:rPr>
                <w:rFonts w:ascii="Times New Roman" w:hAnsi="Times New Roman" w:eastAsia="宋体"/>
                <w:kern w:val="0"/>
                <w:sz w:val="18"/>
                <w:szCs w:val="18"/>
              </w:rPr>
            </w:pPr>
            <w:r>
              <w:rPr>
                <w:rFonts w:ascii="Times New Roman" w:hAnsi="Times New Roman" w:eastAsia="宋体"/>
                <w:b/>
                <w:bCs/>
                <w:kern w:val="24"/>
                <w:sz w:val="18"/>
                <w:szCs w:val="18"/>
              </w:rPr>
              <w:t>860</w:t>
            </w:r>
          </w:p>
        </w:tc>
        <w:tc>
          <w:tcPr>
            <w:tcW w:w="562" w:type="dxa"/>
            <w:tcBorders>
              <w:top w:val="nil"/>
              <w:bottom w:val="single" w:color="auto" w:sz="4" w:space="0"/>
            </w:tcBorders>
            <w:tcMar>
              <w:top w:w="15" w:type="dxa"/>
              <w:left w:w="15" w:type="dxa"/>
              <w:bottom w:w="0" w:type="dxa"/>
              <w:right w:w="15" w:type="dxa"/>
            </w:tcMar>
            <w:vAlign w:val="center"/>
          </w:tcPr>
          <w:p>
            <w:pPr>
              <w:widowControl/>
              <w:spacing w:line="240" w:lineRule="auto"/>
              <w:jc w:val="right"/>
              <w:textAlignment w:val="bottom"/>
              <w:rPr>
                <w:rFonts w:ascii="Times New Roman" w:hAnsi="Times New Roman" w:eastAsia="宋体"/>
                <w:kern w:val="0"/>
                <w:sz w:val="18"/>
                <w:szCs w:val="18"/>
              </w:rPr>
            </w:pPr>
            <w:r>
              <w:rPr>
                <w:rFonts w:ascii="Times New Roman" w:hAnsi="Times New Roman" w:eastAsia="宋体"/>
                <w:b/>
                <w:bCs/>
                <w:kern w:val="24"/>
                <w:sz w:val="18"/>
                <w:szCs w:val="18"/>
              </w:rPr>
              <w:t>971</w:t>
            </w:r>
          </w:p>
        </w:tc>
        <w:tc>
          <w:tcPr>
            <w:tcW w:w="562" w:type="dxa"/>
            <w:tcBorders>
              <w:top w:val="nil"/>
              <w:bottom w:val="single" w:color="auto" w:sz="4" w:space="0"/>
            </w:tcBorders>
            <w:tcMar>
              <w:top w:w="15" w:type="dxa"/>
              <w:left w:w="15" w:type="dxa"/>
              <w:bottom w:w="0" w:type="dxa"/>
              <w:right w:w="15" w:type="dxa"/>
            </w:tcMar>
            <w:vAlign w:val="center"/>
          </w:tcPr>
          <w:p>
            <w:pPr>
              <w:widowControl/>
              <w:spacing w:line="240" w:lineRule="auto"/>
              <w:jc w:val="right"/>
              <w:textAlignment w:val="bottom"/>
              <w:rPr>
                <w:rFonts w:ascii="Times New Roman" w:hAnsi="Times New Roman" w:eastAsia="宋体"/>
                <w:kern w:val="0"/>
                <w:sz w:val="18"/>
                <w:szCs w:val="18"/>
              </w:rPr>
            </w:pPr>
            <w:r>
              <w:rPr>
                <w:rFonts w:ascii="Times New Roman" w:hAnsi="Times New Roman" w:eastAsia="宋体"/>
                <w:b/>
                <w:bCs/>
                <w:kern w:val="24"/>
                <w:sz w:val="18"/>
                <w:szCs w:val="18"/>
              </w:rPr>
              <w:t>1,088</w:t>
            </w:r>
          </w:p>
        </w:tc>
        <w:tc>
          <w:tcPr>
            <w:tcW w:w="562" w:type="dxa"/>
            <w:tcBorders>
              <w:top w:val="nil"/>
              <w:bottom w:val="single" w:color="auto" w:sz="4" w:space="0"/>
            </w:tcBorders>
            <w:tcMar>
              <w:top w:w="15" w:type="dxa"/>
              <w:left w:w="15" w:type="dxa"/>
              <w:bottom w:w="0" w:type="dxa"/>
              <w:right w:w="15" w:type="dxa"/>
            </w:tcMar>
            <w:vAlign w:val="center"/>
          </w:tcPr>
          <w:p>
            <w:pPr>
              <w:widowControl/>
              <w:spacing w:line="240" w:lineRule="auto"/>
              <w:jc w:val="right"/>
              <w:textAlignment w:val="bottom"/>
              <w:rPr>
                <w:rFonts w:ascii="Times New Roman" w:hAnsi="Times New Roman" w:eastAsia="宋体"/>
                <w:kern w:val="0"/>
                <w:sz w:val="18"/>
                <w:szCs w:val="18"/>
              </w:rPr>
            </w:pPr>
            <w:r>
              <w:rPr>
                <w:rFonts w:ascii="Times New Roman" w:hAnsi="Times New Roman" w:eastAsia="宋体"/>
                <w:b/>
                <w:bCs/>
                <w:kern w:val="24"/>
                <w:sz w:val="18"/>
                <w:szCs w:val="18"/>
              </w:rPr>
              <w:t>1,208</w:t>
            </w:r>
          </w:p>
        </w:tc>
        <w:tc>
          <w:tcPr>
            <w:tcW w:w="562" w:type="dxa"/>
            <w:tcBorders>
              <w:top w:val="nil"/>
              <w:bottom w:val="single" w:color="auto" w:sz="4" w:space="0"/>
            </w:tcBorders>
            <w:tcMar>
              <w:top w:w="15" w:type="dxa"/>
              <w:left w:w="15" w:type="dxa"/>
              <w:bottom w:w="0" w:type="dxa"/>
              <w:right w:w="15" w:type="dxa"/>
            </w:tcMar>
            <w:vAlign w:val="center"/>
          </w:tcPr>
          <w:p>
            <w:pPr>
              <w:widowControl/>
              <w:spacing w:line="240" w:lineRule="auto"/>
              <w:jc w:val="right"/>
              <w:textAlignment w:val="bottom"/>
              <w:rPr>
                <w:rFonts w:ascii="Times New Roman" w:hAnsi="Times New Roman" w:eastAsia="宋体"/>
                <w:kern w:val="0"/>
                <w:sz w:val="18"/>
                <w:szCs w:val="18"/>
              </w:rPr>
            </w:pPr>
            <w:r>
              <w:rPr>
                <w:rFonts w:ascii="Times New Roman" w:hAnsi="Times New Roman" w:eastAsia="宋体"/>
                <w:b/>
                <w:bCs/>
                <w:kern w:val="24"/>
                <w:sz w:val="18"/>
                <w:szCs w:val="18"/>
              </w:rPr>
              <w:t>1,328</w:t>
            </w:r>
          </w:p>
        </w:tc>
        <w:tc>
          <w:tcPr>
            <w:tcW w:w="562" w:type="dxa"/>
            <w:tcBorders>
              <w:top w:val="nil"/>
              <w:bottom w:val="single" w:color="auto" w:sz="4" w:space="0"/>
            </w:tcBorders>
            <w:tcMar>
              <w:top w:w="15" w:type="dxa"/>
              <w:left w:w="15" w:type="dxa"/>
              <w:bottom w:w="0" w:type="dxa"/>
              <w:right w:w="15" w:type="dxa"/>
            </w:tcMar>
            <w:vAlign w:val="center"/>
          </w:tcPr>
          <w:p>
            <w:pPr>
              <w:widowControl/>
              <w:spacing w:line="240" w:lineRule="auto"/>
              <w:jc w:val="right"/>
              <w:textAlignment w:val="bottom"/>
              <w:rPr>
                <w:rFonts w:ascii="Times New Roman" w:hAnsi="Times New Roman" w:eastAsia="宋体"/>
                <w:kern w:val="0"/>
                <w:sz w:val="18"/>
                <w:szCs w:val="18"/>
              </w:rPr>
            </w:pPr>
            <w:r>
              <w:rPr>
                <w:rFonts w:ascii="Times New Roman" w:hAnsi="Times New Roman" w:eastAsia="宋体"/>
                <w:b/>
                <w:bCs/>
                <w:kern w:val="24"/>
                <w:sz w:val="18"/>
                <w:szCs w:val="18"/>
              </w:rPr>
              <w:t>1,448</w:t>
            </w:r>
          </w:p>
        </w:tc>
        <w:tc>
          <w:tcPr>
            <w:tcW w:w="562" w:type="dxa"/>
            <w:tcBorders>
              <w:top w:val="nil"/>
              <w:bottom w:val="single" w:color="auto" w:sz="4" w:space="0"/>
            </w:tcBorders>
            <w:tcMar>
              <w:top w:w="15" w:type="dxa"/>
              <w:left w:w="15" w:type="dxa"/>
              <w:bottom w:w="0" w:type="dxa"/>
              <w:right w:w="15" w:type="dxa"/>
            </w:tcMar>
            <w:vAlign w:val="center"/>
          </w:tcPr>
          <w:p>
            <w:pPr>
              <w:widowControl/>
              <w:spacing w:line="240" w:lineRule="auto"/>
              <w:jc w:val="right"/>
              <w:textAlignment w:val="bottom"/>
              <w:rPr>
                <w:rFonts w:ascii="Times New Roman" w:hAnsi="Times New Roman" w:eastAsia="宋体"/>
                <w:kern w:val="0"/>
                <w:sz w:val="18"/>
                <w:szCs w:val="18"/>
              </w:rPr>
            </w:pPr>
            <w:r>
              <w:rPr>
                <w:rFonts w:ascii="Times New Roman" w:hAnsi="Times New Roman" w:eastAsia="宋体"/>
                <w:b/>
                <w:bCs/>
                <w:kern w:val="24"/>
                <w:sz w:val="18"/>
                <w:szCs w:val="18"/>
              </w:rPr>
              <w:t>1,564</w:t>
            </w:r>
          </w:p>
        </w:tc>
        <w:tc>
          <w:tcPr>
            <w:tcW w:w="562" w:type="dxa"/>
            <w:tcBorders>
              <w:top w:val="nil"/>
              <w:bottom w:val="single" w:color="auto" w:sz="4" w:space="0"/>
            </w:tcBorders>
            <w:tcMar>
              <w:top w:w="15" w:type="dxa"/>
              <w:left w:w="15" w:type="dxa"/>
              <w:bottom w:w="0" w:type="dxa"/>
              <w:right w:w="15" w:type="dxa"/>
            </w:tcMar>
            <w:vAlign w:val="center"/>
          </w:tcPr>
          <w:p>
            <w:pPr>
              <w:widowControl/>
              <w:spacing w:line="240" w:lineRule="auto"/>
              <w:jc w:val="right"/>
              <w:textAlignment w:val="bottom"/>
              <w:rPr>
                <w:rFonts w:ascii="Times New Roman" w:hAnsi="Times New Roman" w:eastAsia="宋体"/>
                <w:kern w:val="0"/>
                <w:sz w:val="18"/>
                <w:szCs w:val="18"/>
              </w:rPr>
            </w:pPr>
            <w:r>
              <w:rPr>
                <w:rFonts w:ascii="Times New Roman" w:hAnsi="Times New Roman" w:eastAsia="宋体"/>
                <w:b/>
                <w:bCs/>
                <w:kern w:val="24"/>
                <w:sz w:val="18"/>
                <w:szCs w:val="18"/>
              </w:rPr>
              <w:t>1,673</w:t>
            </w:r>
          </w:p>
        </w:tc>
        <w:tc>
          <w:tcPr>
            <w:tcW w:w="562" w:type="dxa"/>
            <w:tcBorders>
              <w:top w:val="nil"/>
              <w:bottom w:val="single" w:color="auto" w:sz="4" w:space="0"/>
            </w:tcBorders>
            <w:tcMar>
              <w:top w:w="15" w:type="dxa"/>
              <w:left w:w="15" w:type="dxa"/>
              <w:bottom w:w="0" w:type="dxa"/>
              <w:right w:w="15" w:type="dxa"/>
            </w:tcMar>
            <w:vAlign w:val="center"/>
          </w:tcPr>
          <w:p>
            <w:pPr>
              <w:widowControl/>
              <w:spacing w:line="240" w:lineRule="auto"/>
              <w:jc w:val="right"/>
              <w:textAlignment w:val="bottom"/>
              <w:rPr>
                <w:rFonts w:ascii="Times New Roman" w:hAnsi="Times New Roman" w:eastAsia="宋体"/>
                <w:kern w:val="0"/>
                <w:sz w:val="18"/>
                <w:szCs w:val="18"/>
              </w:rPr>
            </w:pPr>
            <w:r>
              <w:rPr>
                <w:rFonts w:ascii="Times New Roman" w:hAnsi="Times New Roman" w:eastAsia="宋体"/>
                <w:b/>
                <w:bCs/>
                <w:kern w:val="24"/>
                <w:sz w:val="18"/>
                <w:szCs w:val="18"/>
              </w:rPr>
              <w:t>1,773</w:t>
            </w:r>
          </w:p>
        </w:tc>
      </w:tr>
    </w:tbl>
    <w:p>
      <w:pPr>
        <w:spacing w:line="360" w:lineRule="auto"/>
        <w:ind w:firstLine="584" w:firstLineChars="200"/>
        <w:rPr>
          <w:rFonts w:ascii="Times New Roman" w:hAnsi="Times New Roman"/>
          <w:sz w:val="28"/>
          <w:szCs w:val="28"/>
        </w:rPr>
      </w:pPr>
    </w:p>
    <w:p>
      <w:pPr>
        <w:spacing w:line="360" w:lineRule="auto"/>
        <w:ind w:firstLine="584" w:firstLineChars="200"/>
        <w:rPr>
          <w:rFonts w:ascii="Times New Roman" w:hAnsi="Times New Roman"/>
          <w:sz w:val="28"/>
        </w:rPr>
      </w:pPr>
      <w:r>
        <w:rPr>
          <w:rFonts w:ascii="Times New Roman" w:hAnsi="Times New Roman"/>
          <w:sz w:val="28"/>
          <w:szCs w:val="28"/>
        </w:rPr>
        <w:t>参考xx保险公司在过去10多年平均增长速度远高于行业平均水平的经验，精算师对其商业计划进行了复核，认为其预计增长率水平可行、有效。</w:t>
      </w:r>
      <w:r>
        <w:rPr>
          <w:rFonts w:ascii="Times New Roman" w:hAnsi="Times New Roman"/>
          <w:sz w:val="28"/>
        </w:rPr>
        <w:t>保险业务收入的预测详见保费收入预测表。</w:t>
      </w:r>
    </w:p>
    <w:p>
      <w:pPr>
        <w:spacing w:line="360" w:lineRule="auto"/>
        <w:jc w:val="center"/>
        <w:rPr>
          <w:rFonts w:ascii="Times New Roman" w:hAnsi="Times New Roman" w:eastAsia="黑体"/>
          <w:sz w:val="24"/>
        </w:rPr>
      </w:pPr>
      <w:r>
        <w:rPr>
          <w:rFonts w:ascii="Times New Roman" w:hAnsi="Times New Roman" w:eastAsia="黑体"/>
          <w:sz w:val="24"/>
        </w:rPr>
        <w:t>xx保险公司20x4-20</w:t>
      </w:r>
      <w:r>
        <w:rPr>
          <w:rFonts w:hint="eastAsia" w:ascii="Times New Roman" w:hAnsi="Times New Roman" w:eastAsia="黑体"/>
          <w:sz w:val="24"/>
        </w:rPr>
        <w:t>y</w:t>
      </w:r>
      <w:r>
        <w:rPr>
          <w:rFonts w:ascii="Times New Roman" w:hAnsi="Times New Roman" w:eastAsia="黑体"/>
          <w:sz w:val="24"/>
        </w:rPr>
        <w:t>4年年化新业务保费增长率</w:t>
      </w:r>
    </w:p>
    <w:tbl>
      <w:tblPr>
        <w:tblStyle w:val="27"/>
        <w:tblW w:w="91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9"/>
        <w:gridCol w:w="708"/>
        <w:gridCol w:w="708"/>
        <w:gridCol w:w="708"/>
        <w:gridCol w:w="708"/>
        <w:gridCol w:w="708"/>
        <w:gridCol w:w="708"/>
        <w:gridCol w:w="707"/>
        <w:gridCol w:w="707"/>
        <w:gridCol w:w="707"/>
        <w:gridCol w:w="707"/>
        <w:gridCol w:w="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379" w:type="dxa"/>
            <w:vAlign w:val="center"/>
          </w:tcPr>
          <w:p>
            <w:pPr>
              <w:widowControl/>
              <w:spacing w:line="240" w:lineRule="auto"/>
              <w:jc w:val="center"/>
              <w:rPr>
                <w:rFonts w:ascii="Times New Roman" w:hAnsi="Times New Roman"/>
                <w:b/>
                <w:kern w:val="0"/>
                <w:sz w:val="18"/>
                <w:szCs w:val="18"/>
              </w:rPr>
            </w:pPr>
            <w:r>
              <w:rPr>
                <w:rFonts w:ascii="Times New Roman" w:hAnsi="Times New Roman"/>
                <w:b/>
                <w:kern w:val="0"/>
                <w:sz w:val="18"/>
                <w:szCs w:val="18"/>
              </w:rPr>
              <w:t>年份</w:t>
            </w:r>
          </w:p>
        </w:tc>
        <w:tc>
          <w:tcPr>
            <w:tcW w:w="708" w:type="dxa"/>
            <w:vAlign w:val="center"/>
          </w:tcPr>
          <w:p>
            <w:pPr>
              <w:widowControl/>
              <w:spacing w:line="240" w:lineRule="auto"/>
              <w:jc w:val="center"/>
              <w:rPr>
                <w:rFonts w:ascii="Times New Roman" w:hAnsi="Times New Roman"/>
                <w:b/>
                <w:kern w:val="0"/>
                <w:sz w:val="18"/>
                <w:szCs w:val="18"/>
              </w:rPr>
            </w:pPr>
            <w:r>
              <w:rPr>
                <w:rFonts w:ascii="Times New Roman" w:hAnsi="Times New Roman"/>
                <w:b/>
                <w:kern w:val="0"/>
                <w:sz w:val="18"/>
                <w:szCs w:val="18"/>
              </w:rPr>
              <w:t>20</w:t>
            </w:r>
            <w:r>
              <w:rPr>
                <w:rFonts w:hint="eastAsia" w:ascii="Times New Roman" w:hAnsi="Times New Roman"/>
                <w:b/>
                <w:kern w:val="0"/>
                <w:sz w:val="18"/>
                <w:szCs w:val="18"/>
              </w:rPr>
              <w:t>x</w:t>
            </w:r>
            <w:r>
              <w:rPr>
                <w:rFonts w:ascii="Times New Roman" w:hAnsi="Times New Roman"/>
                <w:b/>
                <w:kern w:val="0"/>
                <w:sz w:val="18"/>
                <w:szCs w:val="18"/>
              </w:rPr>
              <w:t>4</w:t>
            </w:r>
          </w:p>
        </w:tc>
        <w:tc>
          <w:tcPr>
            <w:tcW w:w="708" w:type="dxa"/>
            <w:vAlign w:val="center"/>
          </w:tcPr>
          <w:p>
            <w:pPr>
              <w:widowControl/>
              <w:spacing w:line="240" w:lineRule="auto"/>
              <w:jc w:val="center"/>
              <w:rPr>
                <w:rFonts w:ascii="Times New Roman" w:hAnsi="Times New Roman"/>
                <w:b/>
                <w:kern w:val="0"/>
                <w:sz w:val="18"/>
                <w:szCs w:val="18"/>
              </w:rPr>
            </w:pPr>
            <w:r>
              <w:rPr>
                <w:rFonts w:ascii="Times New Roman" w:hAnsi="Times New Roman"/>
                <w:b/>
                <w:kern w:val="0"/>
                <w:sz w:val="18"/>
                <w:szCs w:val="18"/>
              </w:rPr>
              <w:t>20</w:t>
            </w:r>
            <w:r>
              <w:rPr>
                <w:rFonts w:hint="eastAsia" w:ascii="Times New Roman" w:hAnsi="Times New Roman"/>
                <w:b/>
                <w:kern w:val="0"/>
                <w:sz w:val="18"/>
                <w:szCs w:val="18"/>
              </w:rPr>
              <w:t>x</w:t>
            </w:r>
            <w:r>
              <w:rPr>
                <w:rFonts w:ascii="Times New Roman" w:hAnsi="Times New Roman"/>
                <w:b/>
                <w:kern w:val="0"/>
                <w:sz w:val="18"/>
                <w:szCs w:val="18"/>
              </w:rPr>
              <w:t>5</w:t>
            </w:r>
          </w:p>
        </w:tc>
        <w:tc>
          <w:tcPr>
            <w:tcW w:w="708" w:type="dxa"/>
            <w:vAlign w:val="center"/>
          </w:tcPr>
          <w:p>
            <w:pPr>
              <w:widowControl/>
              <w:spacing w:line="240" w:lineRule="auto"/>
              <w:jc w:val="center"/>
              <w:rPr>
                <w:rFonts w:ascii="Times New Roman" w:hAnsi="Times New Roman"/>
                <w:b/>
                <w:kern w:val="0"/>
                <w:sz w:val="18"/>
                <w:szCs w:val="18"/>
              </w:rPr>
            </w:pPr>
            <w:r>
              <w:rPr>
                <w:rFonts w:ascii="Times New Roman" w:hAnsi="Times New Roman"/>
                <w:b/>
                <w:kern w:val="0"/>
                <w:sz w:val="18"/>
                <w:szCs w:val="18"/>
              </w:rPr>
              <w:t>20</w:t>
            </w:r>
            <w:r>
              <w:rPr>
                <w:rFonts w:hint="eastAsia" w:ascii="Times New Roman" w:hAnsi="Times New Roman"/>
                <w:b/>
                <w:kern w:val="0"/>
                <w:sz w:val="18"/>
                <w:szCs w:val="18"/>
              </w:rPr>
              <w:t>x</w:t>
            </w:r>
            <w:r>
              <w:rPr>
                <w:rFonts w:ascii="Times New Roman" w:hAnsi="Times New Roman"/>
                <w:b/>
                <w:kern w:val="0"/>
                <w:sz w:val="18"/>
                <w:szCs w:val="18"/>
              </w:rPr>
              <w:t>6</w:t>
            </w:r>
          </w:p>
        </w:tc>
        <w:tc>
          <w:tcPr>
            <w:tcW w:w="708" w:type="dxa"/>
            <w:vAlign w:val="center"/>
          </w:tcPr>
          <w:p>
            <w:pPr>
              <w:widowControl/>
              <w:spacing w:line="240" w:lineRule="auto"/>
              <w:jc w:val="center"/>
              <w:rPr>
                <w:rFonts w:ascii="Times New Roman" w:hAnsi="Times New Roman"/>
                <w:b/>
                <w:kern w:val="0"/>
                <w:sz w:val="18"/>
                <w:szCs w:val="18"/>
              </w:rPr>
            </w:pPr>
            <w:r>
              <w:rPr>
                <w:rFonts w:ascii="Times New Roman" w:hAnsi="Times New Roman"/>
                <w:b/>
                <w:kern w:val="0"/>
                <w:sz w:val="18"/>
                <w:szCs w:val="18"/>
              </w:rPr>
              <w:t>20</w:t>
            </w:r>
            <w:r>
              <w:rPr>
                <w:rFonts w:hint="eastAsia" w:ascii="Times New Roman" w:hAnsi="Times New Roman"/>
                <w:b/>
                <w:kern w:val="0"/>
                <w:sz w:val="18"/>
                <w:szCs w:val="18"/>
              </w:rPr>
              <w:t>x</w:t>
            </w:r>
            <w:r>
              <w:rPr>
                <w:rFonts w:ascii="Times New Roman" w:hAnsi="Times New Roman"/>
                <w:b/>
                <w:kern w:val="0"/>
                <w:sz w:val="18"/>
                <w:szCs w:val="18"/>
              </w:rPr>
              <w:t>7</w:t>
            </w:r>
          </w:p>
        </w:tc>
        <w:tc>
          <w:tcPr>
            <w:tcW w:w="708" w:type="dxa"/>
            <w:vAlign w:val="center"/>
          </w:tcPr>
          <w:p>
            <w:pPr>
              <w:widowControl/>
              <w:spacing w:line="240" w:lineRule="auto"/>
              <w:jc w:val="center"/>
              <w:rPr>
                <w:rFonts w:ascii="Times New Roman" w:hAnsi="Times New Roman"/>
                <w:b/>
                <w:kern w:val="0"/>
                <w:sz w:val="18"/>
                <w:szCs w:val="18"/>
              </w:rPr>
            </w:pPr>
            <w:r>
              <w:rPr>
                <w:rFonts w:ascii="Times New Roman" w:hAnsi="Times New Roman"/>
                <w:b/>
                <w:kern w:val="0"/>
                <w:sz w:val="18"/>
                <w:szCs w:val="18"/>
              </w:rPr>
              <w:t>20</w:t>
            </w:r>
            <w:r>
              <w:rPr>
                <w:rFonts w:hint="eastAsia" w:ascii="Times New Roman" w:hAnsi="Times New Roman"/>
                <w:b/>
                <w:kern w:val="0"/>
                <w:sz w:val="18"/>
                <w:szCs w:val="18"/>
              </w:rPr>
              <w:t>x</w:t>
            </w:r>
            <w:r>
              <w:rPr>
                <w:rFonts w:ascii="Times New Roman" w:hAnsi="Times New Roman"/>
                <w:b/>
                <w:kern w:val="0"/>
                <w:sz w:val="18"/>
                <w:szCs w:val="18"/>
              </w:rPr>
              <w:t>8</w:t>
            </w:r>
          </w:p>
        </w:tc>
        <w:tc>
          <w:tcPr>
            <w:tcW w:w="708" w:type="dxa"/>
            <w:vAlign w:val="center"/>
          </w:tcPr>
          <w:p>
            <w:pPr>
              <w:widowControl/>
              <w:spacing w:line="240" w:lineRule="auto"/>
              <w:jc w:val="center"/>
              <w:rPr>
                <w:rFonts w:ascii="Times New Roman" w:hAnsi="Times New Roman"/>
                <w:b/>
                <w:kern w:val="0"/>
                <w:sz w:val="18"/>
                <w:szCs w:val="18"/>
              </w:rPr>
            </w:pPr>
            <w:r>
              <w:rPr>
                <w:rFonts w:ascii="Times New Roman" w:hAnsi="Times New Roman"/>
                <w:b/>
                <w:kern w:val="0"/>
                <w:sz w:val="18"/>
                <w:szCs w:val="18"/>
              </w:rPr>
              <w:t>20</w:t>
            </w:r>
            <w:r>
              <w:rPr>
                <w:rFonts w:hint="eastAsia" w:ascii="Times New Roman" w:hAnsi="Times New Roman"/>
                <w:b/>
                <w:kern w:val="0"/>
                <w:sz w:val="18"/>
                <w:szCs w:val="18"/>
              </w:rPr>
              <w:t>x</w:t>
            </w:r>
            <w:r>
              <w:rPr>
                <w:rFonts w:ascii="Times New Roman" w:hAnsi="Times New Roman"/>
                <w:b/>
                <w:kern w:val="0"/>
                <w:sz w:val="18"/>
                <w:szCs w:val="18"/>
              </w:rPr>
              <w:t>9</w:t>
            </w:r>
          </w:p>
        </w:tc>
        <w:tc>
          <w:tcPr>
            <w:tcW w:w="707" w:type="dxa"/>
            <w:vAlign w:val="center"/>
          </w:tcPr>
          <w:p>
            <w:pPr>
              <w:widowControl/>
              <w:spacing w:line="240" w:lineRule="auto"/>
              <w:jc w:val="center"/>
              <w:rPr>
                <w:rFonts w:ascii="Times New Roman" w:hAnsi="Times New Roman"/>
                <w:b/>
                <w:kern w:val="0"/>
                <w:sz w:val="18"/>
                <w:szCs w:val="18"/>
              </w:rPr>
            </w:pPr>
            <w:r>
              <w:rPr>
                <w:rFonts w:ascii="Times New Roman" w:hAnsi="Times New Roman"/>
                <w:b/>
                <w:kern w:val="0"/>
                <w:sz w:val="18"/>
                <w:szCs w:val="18"/>
              </w:rPr>
              <w:t>20</w:t>
            </w:r>
            <w:r>
              <w:rPr>
                <w:rFonts w:hint="eastAsia" w:ascii="Times New Roman" w:hAnsi="Times New Roman"/>
                <w:b/>
                <w:kern w:val="0"/>
                <w:sz w:val="18"/>
                <w:szCs w:val="18"/>
              </w:rPr>
              <w:t>y</w:t>
            </w:r>
            <w:r>
              <w:rPr>
                <w:rFonts w:ascii="Times New Roman" w:hAnsi="Times New Roman"/>
                <w:b/>
                <w:kern w:val="0"/>
                <w:sz w:val="18"/>
                <w:szCs w:val="18"/>
              </w:rPr>
              <w:t>0</w:t>
            </w:r>
          </w:p>
        </w:tc>
        <w:tc>
          <w:tcPr>
            <w:tcW w:w="707" w:type="dxa"/>
            <w:vAlign w:val="center"/>
          </w:tcPr>
          <w:p>
            <w:pPr>
              <w:widowControl/>
              <w:spacing w:line="240" w:lineRule="auto"/>
              <w:jc w:val="center"/>
              <w:rPr>
                <w:rFonts w:ascii="Times New Roman" w:hAnsi="Times New Roman"/>
                <w:b/>
                <w:kern w:val="0"/>
                <w:sz w:val="18"/>
                <w:szCs w:val="18"/>
              </w:rPr>
            </w:pPr>
            <w:r>
              <w:rPr>
                <w:rFonts w:ascii="Times New Roman" w:hAnsi="Times New Roman"/>
                <w:b/>
                <w:kern w:val="0"/>
                <w:sz w:val="18"/>
                <w:szCs w:val="18"/>
              </w:rPr>
              <w:t>20</w:t>
            </w:r>
            <w:r>
              <w:rPr>
                <w:rFonts w:hint="eastAsia" w:ascii="Times New Roman" w:hAnsi="Times New Roman"/>
                <w:b/>
                <w:kern w:val="0"/>
                <w:sz w:val="18"/>
                <w:szCs w:val="18"/>
              </w:rPr>
              <w:t>y</w:t>
            </w:r>
            <w:r>
              <w:rPr>
                <w:rFonts w:ascii="Times New Roman" w:hAnsi="Times New Roman"/>
                <w:b/>
                <w:kern w:val="0"/>
                <w:sz w:val="18"/>
                <w:szCs w:val="18"/>
              </w:rPr>
              <w:t>1</w:t>
            </w:r>
          </w:p>
        </w:tc>
        <w:tc>
          <w:tcPr>
            <w:tcW w:w="707" w:type="dxa"/>
            <w:vAlign w:val="center"/>
          </w:tcPr>
          <w:p>
            <w:pPr>
              <w:widowControl/>
              <w:spacing w:line="240" w:lineRule="auto"/>
              <w:jc w:val="center"/>
              <w:rPr>
                <w:rFonts w:ascii="Times New Roman" w:hAnsi="Times New Roman"/>
                <w:b/>
                <w:kern w:val="0"/>
                <w:sz w:val="18"/>
                <w:szCs w:val="18"/>
              </w:rPr>
            </w:pPr>
            <w:r>
              <w:rPr>
                <w:rFonts w:ascii="Times New Roman" w:hAnsi="Times New Roman"/>
                <w:b/>
                <w:kern w:val="0"/>
                <w:sz w:val="18"/>
                <w:szCs w:val="18"/>
              </w:rPr>
              <w:t>20</w:t>
            </w:r>
            <w:r>
              <w:rPr>
                <w:rFonts w:hint="eastAsia" w:ascii="Times New Roman" w:hAnsi="Times New Roman"/>
                <w:b/>
                <w:kern w:val="0"/>
                <w:sz w:val="18"/>
                <w:szCs w:val="18"/>
              </w:rPr>
              <w:t>y</w:t>
            </w:r>
            <w:r>
              <w:rPr>
                <w:rFonts w:ascii="Times New Roman" w:hAnsi="Times New Roman"/>
                <w:b/>
                <w:kern w:val="0"/>
                <w:sz w:val="18"/>
                <w:szCs w:val="18"/>
              </w:rPr>
              <w:t>2</w:t>
            </w:r>
          </w:p>
        </w:tc>
        <w:tc>
          <w:tcPr>
            <w:tcW w:w="707" w:type="dxa"/>
            <w:vAlign w:val="center"/>
          </w:tcPr>
          <w:p>
            <w:pPr>
              <w:widowControl/>
              <w:spacing w:line="240" w:lineRule="auto"/>
              <w:jc w:val="center"/>
              <w:rPr>
                <w:rFonts w:ascii="Times New Roman" w:hAnsi="Times New Roman"/>
                <w:b/>
                <w:kern w:val="0"/>
                <w:sz w:val="18"/>
                <w:szCs w:val="18"/>
              </w:rPr>
            </w:pPr>
            <w:r>
              <w:rPr>
                <w:rFonts w:ascii="Times New Roman" w:hAnsi="Times New Roman"/>
                <w:b/>
                <w:kern w:val="0"/>
                <w:sz w:val="18"/>
                <w:szCs w:val="18"/>
              </w:rPr>
              <w:t>20</w:t>
            </w:r>
            <w:r>
              <w:rPr>
                <w:rFonts w:hint="eastAsia" w:ascii="Times New Roman" w:hAnsi="Times New Roman"/>
                <w:b/>
                <w:kern w:val="0"/>
                <w:sz w:val="18"/>
                <w:szCs w:val="18"/>
              </w:rPr>
              <w:t>y</w:t>
            </w:r>
            <w:r>
              <w:rPr>
                <w:rFonts w:ascii="Times New Roman" w:hAnsi="Times New Roman"/>
                <w:b/>
                <w:kern w:val="0"/>
                <w:sz w:val="18"/>
                <w:szCs w:val="18"/>
              </w:rPr>
              <w:t>3</w:t>
            </w:r>
          </w:p>
        </w:tc>
        <w:tc>
          <w:tcPr>
            <w:tcW w:w="707" w:type="dxa"/>
            <w:vAlign w:val="center"/>
          </w:tcPr>
          <w:p>
            <w:pPr>
              <w:widowControl/>
              <w:spacing w:line="240" w:lineRule="auto"/>
              <w:jc w:val="center"/>
              <w:rPr>
                <w:rFonts w:ascii="Times New Roman" w:hAnsi="Times New Roman"/>
                <w:b/>
                <w:kern w:val="0"/>
                <w:sz w:val="18"/>
                <w:szCs w:val="18"/>
              </w:rPr>
            </w:pPr>
            <w:r>
              <w:rPr>
                <w:rFonts w:ascii="Times New Roman" w:hAnsi="Times New Roman"/>
                <w:b/>
                <w:kern w:val="0"/>
                <w:sz w:val="18"/>
                <w:szCs w:val="18"/>
              </w:rPr>
              <w:t>20</w:t>
            </w:r>
            <w:r>
              <w:rPr>
                <w:rFonts w:hint="eastAsia" w:ascii="Times New Roman" w:hAnsi="Times New Roman"/>
                <w:b/>
                <w:kern w:val="0"/>
                <w:sz w:val="18"/>
                <w:szCs w:val="18"/>
              </w:rPr>
              <w:t>y</w:t>
            </w:r>
            <w:r>
              <w:rPr>
                <w:rFonts w:ascii="Times New Roman" w:hAnsi="Times New Roman"/>
                <w:b/>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379" w:type="dxa"/>
            <w:vAlign w:val="center"/>
          </w:tcPr>
          <w:p>
            <w:pPr>
              <w:widowControl/>
              <w:spacing w:line="240" w:lineRule="auto"/>
              <w:jc w:val="center"/>
              <w:rPr>
                <w:rFonts w:ascii="Times New Roman" w:hAnsi="Times New Roman"/>
                <w:kern w:val="0"/>
                <w:sz w:val="18"/>
                <w:szCs w:val="18"/>
              </w:rPr>
            </w:pPr>
            <w:r>
              <w:rPr>
                <w:rFonts w:ascii="Times New Roman" w:hAnsi="Times New Roman"/>
                <w:kern w:val="0"/>
                <w:sz w:val="18"/>
                <w:szCs w:val="18"/>
              </w:rPr>
              <w:t>ANP增长率</w:t>
            </w:r>
          </w:p>
        </w:tc>
        <w:tc>
          <w:tcPr>
            <w:tcW w:w="708" w:type="dxa"/>
            <w:vAlign w:val="center"/>
          </w:tcPr>
          <w:p>
            <w:pPr>
              <w:widowControl/>
              <w:spacing w:line="240" w:lineRule="auto"/>
              <w:jc w:val="center"/>
              <w:rPr>
                <w:rFonts w:ascii="Times New Roman" w:hAnsi="Times New Roman"/>
                <w:kern w:val="0"/>
                <w:sz w:val="18"/>
                <w:szCs w:val="18"/>
              </w:rPr>
            </w:pPr>
            <w:r>
              <w:rPr>
                <w:rFonts w:ascii="Times New Roman" w:hAnsi="Times New Roman"/>
                <w:kern w:val="0"/>
                <w:sz w:val="18"/>
                <w:szCs w:val="18"/>
              </w:rPr>
              <w:t>17%</w:t>
            </w:r>
          </w:p>
        </w:tc>
        <w:tc>
          <w:tcPr>
            <w:tcW w:w="708" w:type="dxa"/>
            <w:vAlign w:val="center"/>
          </w:tcPr>
          <w:p>
            <w:pPr>
              <w:widowControl/>
              <w:spacing w:line="240" w:lineRule="auto"/>
              <w:jc w:val="center"/>
              <w:rPr>
                <w:rFonts w:ascii="Times New Roman" w:hAnsi="Times New Roman"/>
                <w:kern w:val="0"/>
                <w:sz w:val="18"/>
                <w:szCs w:val="18"/>
              </w:rPr>
            </w:pPr>
            <w:r>
              <w:rPr>
                <w:rFonts w:ascii="Times New Roman" w:hAnsi="Times New Roman"/>
                <w:kern w:val="0"/>
                <w:sz w:val="18"/>
                <w:szCs w:val="18"/>
              </w:rPr>
              <w:t>16%</w:t>
            </w:r>
          </w:p>
        </w:tc>
        <w:tc>
          <w:tcPr>
            <w:tcW w:w="708" w:type="dxa"/>
            <w:vAlign w:val="center"/>
          </w:tcPr>
          <w:p>
            <w:pPr>
              <w:widowControl/>
              <w:spacing w:line="240" w:lineRule="auto"/>
              <w:jc w:val="center"/>
              <w:rPr>
                <w:rFonts w:ascii="Times New Roman" w:hAnsi="Times New Roman"/>
                <w:kern w:val="0"/>
                <w:sz w:val="18"/>
                <w:szCs w:val="18"/>
              </w:rPr>
            </w:pPr>
            <w:r>
              <w:rPr>
                <w:rFonts w:ascii="Times New Roman" w:hAnsi="Times New Roman"/>
                <w:kern w:val="0"/>
                <w:sz w:val="18"/>
                <w:szCs w:val="18"/>
              </w:rPr>
              <w:t>14%</w:t>
            </w:r>
          </w:p>
        </w:tc>
        <w:tc>
          <w:tcPr>
            <w:tcW w:w="708" w:type="dxa"/>
            <w:vAlign w:val="center"/>
          </w:tcPr>
          <w:p>
            <w:pPr>
              <w:widowControl/>
              <w:spacing w:line="240" w:lineRule="auto"/>
              <w:jc w:val="center"/>
              <w:rPr>
                <w:rFonts w:ascii="Times New Roman" w:hAnsi="Times New Roman"/>
                <w:kern w:val="0"/>
                <w:sz w:val="18"/>
                <w:szCs w:val="18"/>
              </w:rPr>
            </w:pPr>
            <w:r>
              <w:rPr>
                <w:rFonts w:ascii="Times New Roman" w:hAnsi="Times New Roman"/>
                <w:kern w:val="0"/>
                <w:sz w:val="18"/>
                <w:szCs w:val="18"/>
              </w:rPr>
              <w:t>13%</w:t>
            </w:r>
          </w:p>
        </w:tc>
        <w:tc>
          <w:tcPr>
            <w:tcW w:w="708" w:type="dxa"/>
            <w:vAlign w:val="center"/>
          </w:tcPr>
          <w:p>
            <w:pPr>
              <w:widowControl/>
              <w:spacing w:line="240" w:lineRule="auto"/>
              <w:jc w:val="center"/>
              <w:rPr>
                <w:rFonts w:ascii="Times New Roman" w:hAnsi="Times New Roman"/>
                <w:kern w:val="0"/>
                <w:sz w:val="18"/>
                <w:szCs w:val="18"/>
              </w:rPr>
            </w:pPr>
            <w:r>
              <w:rPr>
                <w:rFonts w:ascii="Times New Roman" w:hAnsi="Times New Roman"/>
                <w:kern w:val="0"/>
                <w:sz w:val="18"/>
                <w:szCs w:val="18"/>
              </w:rPr>
              <w:t>12%</w:t>
            </w:r>
          </w:p>
        </w:tc>
        <w:tc>
          <w:tcPr>
            <w:tcW w:w="708" w:type="dxa"/>
            <w:vAlign w:val="center"/>
          </w:tcPr>
          <w:p>
            <w:pPr>
              <w:widowControl/>
              <w:spacing w:line="240" w:lineRule="auto"/>
              <w:jc w:val="center"/>
              <w:rPr>
                <w:rFonts w:ascii="Times New Roman" w:hAnsi="Times New Roman"/>
                <w:kern w:val="0"/>
                <w:sz w:val="18"/>
                <w:szCs w:val="18"/>
              </w:rPr>
            </w:pPr>
            <w:r>
              <w:rPr>
                <w:rFonts w:ascii="Times New Roman" w:hAnsi="Times New Roman"/>
                <w:kern w:val="0"/>
                <w:sz w:val="18"/>
                <w:szCs w:val="18"/>
              </w:rPr>
              <w:t>11%</w:t>
            </w:r>
          </w:p>
        </w:tc>
        <w:tc>
          <w:tcPr>
            <w:tcW w:w="707" w:type="dxa"/>
            <w:vAlign w:val="center"/>
          </w:tcPr>
          <w:p>
            <w:pPr>
              <w:widowControl/>
              <w:spacing w:line="240" w:lineRule="auto"/>
              <w:jc w:val="center"/>
              <w:rPr>
                <w:rFonts w:ascii="Times New Roman" w:hAnsi="Times New Roman"/>
                <w:kern w:val="0"/>
                <w:sz w:val="18"/>
                <w:szCs w:val="18"/>
              </w:rPr>
            </w:pPr>
            <w:r>
              <w:rPr>
                <w:rFonts w:ascii="Times New Roman" w:hAnsi="Times New Roman"/>
                <w:kern w:val="0"/>
                <w:sz w:val="18"/>
                <w:szCs w:val="18"/>
              </w:rPr>
              <w:t>10%</w:t>
            </w:r>
          </w:p>
        </w:tc>
        <w:tc>
          <w:tcPr>
            <w:tcW w:w="707" w:type="dxa"/>
            <w:vAlign w:val="center"/>
          </w:tcPr>
          <w:p>
            <w:pPr>
              <w:widowControl/>
              <w:spacing w:line="240" w:lineRule="auto"/>
              <w:jc w:val="center"/>
              <w:rPr>
                <w:rFonts w:ascii="Times New Roman" w:hAnsi="Times New Roman"/>
                <w:kern w:val="0"/>
                <w:sz w:val="18"/>
                <w:szCs w:val="18"/>
              </w:rPr>
            </w:pPr>
            <w:r>
              <w:rPr>
                <w:rFonts w:ascii="Times New Roman" w:hAnsi="Times New Roman"/>
                <w:kern w:val="0"/>
                <w:sz w:val="18"/>
                <w:szCs w:val="18"/>
              </w:rPr>
              <w:t>9%</w:t>
            </w:r>
          </w:p>
        </w:tc>
        <w:tc>
          <w:tcPr>
            <w:tcW w:w="707" w:type="dxa"/>
            <w:vAlign w:val="center"/>
          </w:tcPr>
          <w:p>
            <w:pPr>
              <w:widowControl/>
              <w:spacing w:line="240" w:lineRule="auto"/>
              <w:jc w:val="center"/>
              <w:rPr>
                <w:rFonts w:ascii="Times New Roman" w:hAnsi="Times New Roman"/>
                <w:kern w:val="0"/>
                <w:sz w:val="18"/>
                <w:szCs w:val="18"/>
              </w:rPr>
            </w:pPr>
            <w:r>
              <w:rPr>
                <w:rFonts w:ascii="Times New Roman" w:hAnsi="Times New Roman"/>
                <w:kern w:val="0"/>
                <w:sz w:val="18"/>
                <w:szCs w:val="18"/>
              </w:rPr>
              <w:t>8%</w:t>
            </w:r>
          </w:p>
        </w:tc>
        <w:tc>
          <w:tcPr>
            <w:tcW w:w="707" w:type="dxa"/>
            <w:vAlign w:val="center"/>
          </w:tcPr>
          <w:p>
            <w:pPr>
              <w:widowControl/>
              <w:spacing w:line="240" w:lineRule="auto"/>
              <w:jc w:val="center"/>
              <w:rPr>
                <w:rFonts w:ascii="Times New Roman" w:hAnsi="Times New Roman"/>
                <w:kern w:val="0"/>
                <w:sz w:val="18"/>
                <w:szCs w:val="18"/>
              </w:rPr>
            </w:pPr>
            <w:r>
              <w:rPr>
                <w:rFonts w:ascii="Times New Roman" w:hAnsi="Times New Roman"/>
                <w:kern w:val="0"/>
                <w:sz w:val="18"/>
                <w:szCs w:val="18"/>
              </w:rPr>
              <w:t>7%</w:t>
            </w:r>
          </w:p>
        </w:tc>
        <w:tc>
          <w:tcPr>
            <w:tcW w:w="707" w:type="dxa"/>
            <w:vAlign w:val="center"/>
          </w:tcPr>
          <w:p>
            <w:pPr>
              <w:widowControl/>
              <w:spacing w:line="240" w:lineRule="auto"/>
              <w:jc w:val="center"/>
              <w:rPr>
                <w:rFonts w:ascii="Times New Roman" w:hAnsi="Times New Roman"/>
                <w:kern w:val="0"/>
                <w:sz w:val="18"/>
                <w:szCs w:val="18"/>
              </w:rPr>
            </w:pPr>
            <w:r>
              <w:rPr>
                <w:rFonts w:ascii="Times New Roman" w:hAnsi="Times New Roman"/>
                <w:kern w:val="0"/>
                <w:sz w:val="18"/>
                <w:szCs w:val="18"/>
              </w:rPr>
              <w:t>6%</w:t>
            </w:r>
          </w:p>
        </w:tc>
      </w:tr>
    </w:tbl>
    <w:p>
      <w:pPr>
        <w:spacing w:line="360" w:lineRule="auto"/>
        <w:ind w:firstLine="584" w:firstLineChars="200"/>
        <w:rPr>
          <w:rFonts w:ascii="Times New Roman" w:hAnsi="Times New Roman"/>
          <w:sz w:val="28"/>
          <w:szCs w:val="28"/>
          <w:lang w:val="zh-CN"/>
        </w:rPr>
      </w:pPr>
    </w:p>
    <w:p>
      <w:pPr>
        <w:spacing w:line="360" w:lineRule="auto"/>
        <w:ind w:firstLine="584" w:firstLineChars="200"/>
        <w:rPr>
          <w:rFonts w:ascii="Times New Roman" w:hAnsi="Times New Roman"/>
          <w:sz w:val="28"/>
        </w:rPr>
      </w:pPr>
      <w:r>
        <w:rPr>
          <w:rFonts w:ascii="Times New Roman" w:hAnsi="Times New Roman"/>
          <w:sz w:val="28"/>
          <w:szCs w:val="28"/>
          <w:lang w:val="zh-CN"/>
        </w:rPr>
        <w:t>本次评估以</w:t>
      </w:r>
      <w:r>
        <w:rPr>
          <w:rFonts w:ascii="Times New Roman" w:hAnsi="Times New Roman"/>
          <w:sz w:val="28"/>
        </w:rPr>
        <w:t>目前所经营的业务类别为基础，参照</w:t>
      </w:r>
      <w:r>
        <w:rPr>
          <w:rFonts w:ascii="Times New Roman" w:hAnsi="Times New Roman"/>
          <w:sz w:val="28"/>
          <w:szCs w:val="28"/>
        </w:rPr>
        <w:t>xx保险公司</w:t>
      </w:r>
      <w:r>
        <w:rPr>
          <w:rFonts w:ascii="Times New Roman" w:hAnsi="Times New Roman"/>
          <w:sz w:val="28"/>
        </w:rPr>
        <w:t>未来年度商业计划，在20x3年的基础上，考虑国民经济的整体发展和保险深度的加强，对不同产品的保险业务收入进行预测。</w:t>
      </w:r>
    </w:p>
    <w:p>
      <w:pPr>
        <w:spacing w:line="360" w:lineRule="auto"/>
        <w:ind w:firstLine="584" w:firstLineChars="200"/>
        <w:rPr>
          <w:rFonts w:ascii="Times New Roman" w:hAnsi="Times New Roman"/>
          <w:sz w:val="28"/>
        </w:rPr>
      </w:pPr>
      <w:r>
        <w:rPr>
          <w:rFonts w:hint="eastAsia" w:ascii="Times New Roman" w:hAnsi="Times New Roman"/>
          <w:sz w:val="28"/>
        </w:rPr>
        <w:t>2、</w:t>
      </w:r>
      <w:r>
        <w:rPr>
          <w:rFonts w:ascii="Times New Roman" w:hAnsi="Times New Roman"/>
          <w:sz w:val="28"/>
        </w:rPr>
        <w:t>分出保费与未到期责任准备金</w:t>
      </w:r>
    </w:p>
    <w:p>
      <w:pPr>
        <w:spacing w:line="360" w:lineRule="auto"/>
        <w:ind w:firstLine="584" w:firstLineChars="200"/>
        <w:rPr>
          <w:rFonts w:ascii="Times New Roman" w:hAnsi="Times New Roman"/>
          <w:sz w:val="28"/>
        </w:rPr>
      </w:pPr>
      <w:r>
        <w:rPr>
          <w:rFonts w:ascii="Times New Roman" w:hAnsi="Times New Roman"/>
          <w:sz w:val="28"/>
        </w:rPr>
        <w:t>分出保费是保险公司为了控制风险、提高偿付能力充足率，将部分风险向再保险公司分出（也叫再保险），由此产生了分出保费。</w:t>
      </w:r>
      <w:r>
        <w:rPr>
          <w:rFonts w:ascii="Times New Roman" w:hAnsi="Times New Roman"/>
          <w:sz w:val="28"/>
          <w:szCs w:val="28"/>
        </w:rPr>
        <w:t>xx保险公司</w:t>
      </w:r>
      <w:r>
        <w:rPr>
          <w:rFonts w:ascii="Times New Roman" w:hAnsi="Times New Roman"/>
          <w:sz w:val="28"/>
        </w:rPr>
        <w:t>存在8个有效财务再保险合同。</w:t>
      </w:r>
      <w:r>
        <w:rPr>
          <w:rFonts w:ascii="Times New Roman" w:hAnsi="Times New Roman"/>
          <w:sz w:val="28"/>
          <w:szCs w:val="28"/>
        </w:rPr>
        <w:t>xx保险公司</w:t>
      </w:r>
      <w:r>
        <w:rPr>
          <w:rFonts w:ascii="Times New Roman" w:hAnsi="Times New Roman"/>
          <w:sz w:val="28"/>
        </w:rPr>
        <w:t>目前的主要保费分出方为xx再保险公司、xx再保险公司及xx再保险公司。20x2年分出保费较20x1年减少或5.78%，主要原因为：20x1年为收取再保佣金，减少亏损，提高偿付能力，导致分出保费规模较大。20x2年业务规模增长很大，分出保费规模下降。20x3年</w:t>
      </w:r>
      <w:r>
        <w:rPr>
          <w:rFonts w:hint="eastAsia" w:ascii="Times New Roman" w:hAnsi="Times New Roman"/>
          <w:sz w:val="28"/>
        </w:rPr>
        <w:t>xx</w:t>
      </w:r>
      <w:r>
        <w:rPr>
          <w:rFonts w:ascii="Times New Roman" w:hAnsi="Times New Roman"/>
          <w:sz w:val="28"/>
        </w:rPr>
        <w:t>保险</w:t>
      </w:r>
      <w:r>
        <w:rPr>
          <w:rFonts w:hint="eastAsia" w:ascii="Times New Roman" w:hAnsi="Times New Roman"/>
          <w:sz w:val="28"/>
        </w:rPr>
        <w:t>公司</w:t>
      </w:r>
      <w:r>
        <w:rPr>
          <w:rFonts w:ascii="Times New Roman" w:hAnsi="Times New Roman"/>
          <w:sz w:val="28"/>
        </w:rPr>
        <w:t>分出保费的金额为93,214.63万元，较20x2年增长8%。本次评估在</w:t>
      </w:r>
      <w:r>
        <w:rPr>
          <w:rFonts w:ascii="Times New Roman" w:hAnsi="Times New Roman"/>
          <w:sz w:val="28"/>
          <w:szCs w:val="28"/>
        </w:rPr>
        <w:t>xx保险公司</w:t>
      </w:r>
      <w:r>
        <w:rPr>
          <w:rFonts w:ascii="Times New Roman" w:hAnsi="Times New Roman"/>
          <w:sz w:val="28"/>
        </w:rPr>
        <w:t>商业计划的基础上对未来年度分出保费进行预测，</w:t>
      </w:r>
      <w:r>
        <w:rPr>
          <w:rFonts w:hint="eastAsia" w:ascii="Times New Roman" w:hAnsi="Times New Roman"/>
          <w:sz w:val="28"/>
        </w:rPr>
        <w:t>xx保险公司</w:t>
      </w:r>
      <w:r>
        <w:rPr>
          <w:rFonts w:ascii="Times New Roman" w:hAnsi="Times New Roman"/>
          <w:sz w:val="28"/>
        </w:rPr>
        <w:t>在估计再保险影响时，仅考虑目前已生效的再保险合同，未来不增加再保险合同。分出保费的预测详见保费收入预测表。</w:t>
      </w:r>
    </w:p>
    <w:p>
      <w:pPr>
        <w:spacing w:line="360" w:lineRule="auto"/>
        <w:ind w:firstLine="584" w:firstLineChars="200"/>
        <w:rPr>
          <w:rFonts w:ascii="Times New Roman" w:hAnsi="Times New Roman"/>
          <w:sz w:val="28"/>
        </w:rPr>
      </w:pPr>
      <w:r>
        <w:rPr>
          <w:rFonts w:ascii="Times New Roman" w:hAnsi="Times New Roman"/>
          <w:sz w:val="28"/>
        </w:rPr>
        <w:t>未到期责任准备金指公司一年以内的财产险、意外伤害险、健康险业务按规定从本期保险责任尚未到期，应属于下一年度的部分保险费中提取出来形成的准备金。20x2年提取未到期责任准备金为34万，较20x1年下降85.87%。主要原因是：未到期责任准备金针对的是短期险，20x1年短期保险有较大增长，20x2年该类业务量变动不大，引起准备金变动较小。按照我国保险精算规定：会计年度末未到期责任准备金按照本会计年度自留毛保费的50%提取。本次评估对未到期责任准备金的预测按照保险精算规定进行提取。未到期责任准备金的预测详见保费收入预测表。</w:t>
      </w:r>
    </w:p>
    <w:p>
      <w:pPr>
        <w:spacing w:line="360" w:lineRule="auto"/>
        <w:ind w:firstLine="584" w:firstLineChars="200"/>
        <w:rPr>
          <w:rFonts w:ascii="Times New Roman" w:hAnsi="Times New Roman"/>
          <w:sz w:val="28"/>
        </w:rPr>
      </w:pPr>
      <w:r>
        <w:rPr>
          <w:rFonts w:hint="eastAsia" w:ascii="Times New Roman" w:hAnsi="Times New Roman"/>
          <w:sz w:val="28"/>
        </w:rPr>
        <w:t>3、</w:t>
      </w:r>
      <w:r>
        <w:rPr>
          <w:rFonts w:ascii="Times New Roman" w:hAnsi="Times New Roman"/>
          <w:sz w:val="28"/>
        </w:rPr>
        <w:t>已赚保费</w:t>
      </w:r>
    </w:p>
    <w:p>
      <w:pPr>
        <w:spacing w:line="360" w:lineRule="auto"/>
        <w:ind w:firstLine="584" w:firstLineChars="200"/>
        <w:rPr>
          <w:rFonts w:ascii="Times New Roman" w:hAnsi="Times New Roman"/>
          <w:sz w:val="28"/>
        </w:rPr>
      </w:pPr>
      <w:r>
        <w:rPr>
          <w:rFonts w:ascii="Times New Roman" w:hAnsi="Times New Roman"/>
          <w:sz w:val="28"/>
        </w:rPr>
        <w:t>当年的保费收入扣除分出保费和提取未到期责任准备金之后，得到公司当年的已赚保费。详见下表：</w:t>
      </w:r>
    </w:p>
    <w:p>
      <w:pPr>
        <w:spacing w:line="360" w:lineRule="auto"/>
        <w:ind w:firstLine="504" w:firstLineChars="200"/>
        <w:jc w:val="center"/>
        <w:rPr>
          <w:rFonts w:ascii="Times New Roman" w:hAnsi="Times New Roman" w:eastAsia="黑体"/>
          <w:sz w:val="24"/>
        </w:rPr>
      </w:pPr>
      <w:r>
        <w:rPr>
          <w:rFonts w:ascii="Times New Roman" w:hAnsi="Times New Roman" w:eastAsia="黑体"/>
          <w:sz w:val="24"/>
        </w:rPr>
        <w:t>20x4年-20</w:t>
      </w:r>
      <w:r>
        <w:rPr>
          <w:rFonts w:hint="eastAsia" w:ascii="Times New Roman" w:hAnsi="Times New Roman" w:eastAsia="黑体"/>
          <w:sz w:val="24"/>
        </w:rPr>
        <w:t>y4</w:t>
      </w:r>
      <w:r>
        <w:rPr>
          <w:rFonts w:ascii="Times New Roman" w:hAnsi="Times New Roman" w:eastAsia="黑体"/>
          <w:sz w:val="24"/>
        </w:rPr>
        <w:t>年保费收入及已赚保费预测表</w:t>
      </w:r>
    </w:p>
    <w:p>
      <w:pPr>
        <w:spacing w:line="360" w:lineRule="auto"/>
        <w:ind w:firstLine="444" w:firstLineChars="200"/>
        <w:jc w:val="right"/>
        <w:rPr>
          <w:rFonts w:hint="eastAsia" w:ascii="仿宋_GB2312" w:hAnsi="Times New Roman"/>
          <w:sz w:val="21"/>
          <w:szCs w:val="21"/>
        </w:rPr>
      </w:pPr>
      <w:r>
        <w:rPr>
          <w:rFonts w:hint="eastAsia" w:ascii="仿宋_GB2312" w:hAnsi="Times New Roman"/>
          <w:sz w:val="21"/>
          <w:szCs w:val="21"/>
        </w:rPr>
        <w:t>金额单位：人民币亿元</w:t>
      </w:r>
    </w:p>
    <w:tbl>
      <w:tblPr>
        <w:tblStyle w:val="27"/>
        <w:tblW w:w="916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60"/>
        <w:gridCol w:w="657"/>
        <w:gridCol w:w="657"/>
        <w:gridCol w:w="655"/>
        <w:gridCol w:w="655"/>
        <w:gridCol w:w="654"/>
        <w:gridCol w:w="654"/>
        <w:gridCol w:w="654"/>
        <w:gridCol w:w="654"/>
        <w:gridCol w:w="654"/>
        <w:gridCol w:w="654"/>
        <w:gridCol w:w="65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960" w:type="dxa"/>
            <w:vAlign w:val="center"/>
          </w:tcPr>
          <w:p>
            <w:pPr>
              <w:widowControl/>
              <w:spacing w:line="240" w:lineRule="auto"/>
              <w:jc w:val="center"/>
              <w:rPr>
                <w:rFonts w:ascii="Times New Roman" w:hAnsi="Times New Roman" w:eastAsia="宋体"/>
                <w:b/>
                <w:kern w:val="0"/>
                <w:sz w:val="18"/>
                <w:szCs w:val="18"/>
              </w:rPr>
            </w:pPr>
            <w:r>
              <w:rPr>
                <w:rFonts w:ascii="Times New Roman" w:hAnsi="宋体" w:eastAsia="宋体"/>
                <w:b/>
                <w:kern w:val="0"/>
                <w:sz w:val="18"/>
                <w:szCs w:val="18"/>
              </w:rPr>
              <w:t>年份</w:t>
            </w:r>
          </w:p>
        </w:tc>
        <w:tc>
          <w:tcPr>
            <w:tcW w:w="657" w:type="dxa"/>
            <w:vAlign w:val="center"/>
          </w:tcPr>
          <w:p>
            <w:pPr>
              <w:widowControl/>
              <w:spacing w:line="240" w:lineRule="auto"/>
              <w:jc w:val="center"/>
              <w:rPr>
                <w:rFonts w:ascii="Times New Roman" w:hAnsi="Times New Roman" w:eastAsia="宋体"/>
                <w:b/>
                <w:kern w:val="0"/>
                <w:sz w:val="18"/>
                <w:szCs w:val="18"/>
              </w:rPr>
            </w:pPr>
            <w:r>
              <w:rPr>
                <w:rFonts w:ascii="Times New Roman" w:hAnsi="Times New Roman" w:eastAsia="宋体"/>
                <w:b/>
                <w:kern w:val="0"/>
                <w:sz w:val="18"/>
                <w:szCs w:val="18"/>
              </w:rPr>
              <w:t>20x4</w:t>
            </w:r>
          </w:p>
        </w:tc>
        <w:tc>
          <w:tcPr>
            <w:tcW w:w="657" w:type="dxa"/>
            <w:vAlign w:val="center"/>
          </w:tcPr>
          <w:p>
            <w:pPr>
              <w:widowControl/>
              <w:spacing w:line="240" w:lineRule="auto"/>
              <w:jc w:val="center"/>
              <w:rPr>
                <w:rFonts w:ascii="Times New Roman" w:hAnsi="Times New Roman" w:eastAsia="宋体"/>
                <w:b/>
                <w:kern w:val="0"/>
                <w:sz w:val="18"/>
                <w:szCs w:val="18"/>
              </w:rPr>
            </w:pPr>
            <w:r>
              <w:rPr>
                <w:rFonts w:ascii="Times New Roman" w:hAnsi="Times New Roman" w:eastAsia="宋体"/>
                <w:b/>
                <w:kern w:val="0"/>
                <w:sz w:val="18"/>
                <w:szCs w:val="18"/>
              </w:rPr>
              <w:t>20x5</w:t>
            </w:r>
          </w:p>
        </w:tc>
        <w:tc>
          <w:tcPr>
            <w:tcW w:w="655" w:type="dxa"/>
            <w:vAlign w:val="center"/>
          </w:tcPr>
          <w:p>
            <w:pPr>
              <w:widowControl/>
              <w:spacing w:line="240" w:lineRule="auto"/>
              <w:jc w:val="center"/>
              <w:rPr>
                <w:rFonts w:ascii="Times New Roman" w:hAnsi="Times New Roman" w:eastAsia="宋体"/>
                <w:b/>
                <w:kern w:val="0"/>
                <w:sz w:val="18"/>
                <w:szCs w:val="18"/>
              </w:rPr>
            </w:pPr>
            <w:r>
              <w:rPr>
                <w:rFonts w:ascii="Times New Roman" w:hAnsi="Times New Roman" w:eastAsia="宋体"/>
                <w:b/>
                <w:kern w:val="0"/>
                <w:sz w:val="18"/>
                <w:szCs w:val="18"/>
              </w:rPr>
              <w:t>20x6</w:t>
            </w:r>
          </w:p>
        </w:tc>
        <w:tc>
          <w:tcPr>
            <w:tcW w:w="655" w:type="dxa"/>
            <w:vAlign w:val="center"/>
          </w:tcPr>
          <w:p>
            <w:pPr>
              <w:widowControl/>
              <w:spacing w:line="240" w:lineRule="auto"/>
              <w:jc w:val="center"/>
              <w:rPr>
                <w:rFonts w:ascii="Times New Roman" w:hAnsi="Times New Roman" w:eastAsia="宋体"/>
                <w:b/>
                <w:kern w:val="0"/>
                <w:sz w:val="18"/>
                <w:szCs w:val="18"/>
              </w:rPr>
            </w:pPr>
            <w:r>
              <w:rPr>
                <w:rFonts w:ascii="Times New Roman" w:hAnsi="Times New Roman" w:eastAsia="宋体"/>
                <w:b/>
                <w:kern w:val="0"/>
                <w:sz w:val="18"/>
                <w:szCs w:val="18"/>
              </w:rPr>
              <w:t>20x7</w:t>
            </w:r>
          </w:p>
        </w:tc>
        <w:tc>
          <w:tcPr>
            <w:tcW w:w="654" w:type="dxa"/>
            <w:vAlign w:val="center"/>
          </w:tcPr>
          <w:p>
            <w:pPr>
              <w:widowControl/>
              <w:spacing w:line="240" w:lineRule="auto"/>
              <w:jc w:val="center"/>
              <w:rPr>
                <w:rFonts w:ascii="Times New Roman" w:hAnsi="Times New Roman" w:eastAsia="宋体"/>
                <w:b/>
                <w:kern w:val="0"/>
                <w:sz w:val="18"/>
                <w:szCs w:val="18"/>
              </w:rPr>
            </w:pPr>
            <w:r>
              <w:rPr>
                <w:rFonts w:ascii="Times New Roman" w:hAnsi="Times New Roman" w:eastAsia="宋体"/>
                <w:b/>
                <w:kern w:val="0"/>
                <w:sz w:val="18"/>
                <w:szCs w:val="18"/>
              </w:rPr>
              <w:t>20x8</w:t>
            </w:r>
          </w:p>
        </w:tc>
        <w:tc>
          <w:tcPr>
            <w:tcW w:w="654" w:type="dxa"/>
            <w:vAlign w:val="center"/>
          </w:tcPr>
          <w:p>
            <w:pPr>
              <w:widowControl/>
              <w:spacing w:line="240" w:lineRule="auto"/>
              <w:jc w:val="center"/>
              <w:rPr>
                <w:rFonts w:ascii="Times New Roman" w:hAnsi="Times New Roman" w:eastAsia="宋体"/>
                <w:b/>
                <w:kern w:val="0"/>
                <w:sz w:val="18"/>
                <w:szCs w:val="18"/>
              </w:rPr>
            </w:pPr>
            <w:r>
              <w:rPr>
                <w:rFonts w:ascii="Times New Roman" w:hAnsi="Times New Roman" w:eastAsia="宋体"/>
                <w:b/>
                <w:kern w:val="0"/>
                <w:sz w:val="18"/>
                <w:szCs w:val="18"/>
              </w:rPr>
              <w:t>20x9</w:t>
            </w:r>
          </w:p>
        </w:tc>
        <w:tc>
          <w:tcPr>
            <w:tcW w:w="654" w:type="dxa"/>
            <w:vAlign w:val="center"/>
          </w:tcPr>
          <w:p>
            <w:pPr>
              <w:widowControl/>
              <w:spacing w:line="240" w:lineRule="auto"/>
              <w:jc w:val="center"/>
              <w:rPr>
                <w:rFonts w:ascii="Times New Roman" w:hAnsi="Times New Roman" w:eastAsia="宋体"/>
                <w:b/>
                <w:kern w:val="0"/>
                <w:sz w:val="18"/>
                <w:szCs w:val="18"/>
              </w:rPr>
            </w:pPr>
            <w:r>
              <w:rPr>
                <w:rFonts w:ascii="Times New Roman" w:hAnsi="Times New Roman" w:eastAsia="宋体"/>
                <w:b/>
                <w:kern w:val="0"/>
                <w:sz w:val="18"/>
                <w:szCs w:val="18"/>
              </w:rPr>
              <w:t>20</w:t>
            </w:r>
            <w:r>
              <w:rPr>
                <w:rFonts w:hint="eastAsia" w:ascii="Times New Roman" w:hAnsi="Times New Roman" w:eastAsia="宋体"/>
                <w:b/>
                <w:kern w:val="0"/>
                <w:sz w:val="18"/>
                <w:szCs w:val="18"/>
              </w:rPr>
              <w:t>y</w:t>
            </w:r>
            <w:r>
              <w:rPr>
                <w:rFonts w:ascii="Times New Roman" w:hAnsi="Times New Roman" w:eastAsia="宋体"/>
                <w:b/>
                <w:kern w:val="0"/>
                <w:sz w:val="18"/>
                <w:szCs w:val="18"/>
              </w:rPr>
              <w:t>0</w:t>
            </w:r>
          </w:p>
        </w:tc>
        <w:tc>
          <w:tcPr>
            <w:tcW w:w="654" w:type="dxa"/>
            <w:vAlign w:val="center"/>
          </w:tcPr>
          <w:p>
            <w:pPr>
              <w:widowControl/>
              <w:spacing w:line="240" w:lineRule="auto"/>
              <w:jc w:val="center"/>
              <w:rPr>
                <w:rFonts w:ascii="Times New Roman" w:hAnsi="Times New Roman" w:eastAsia="宋体"/>
                <w:b/>
                <w:kern w:val="0"/>
                <w:sz w:val="18"/>
                <w:szCs w:val="18"/>
              </w:rPr>
            </w:pPr>
            <w:r>
              <w:rPr>
                <w:rFonts w:ascii="Times New Roman" w:hAnsi="Times New Roman" w:eastAsia="宋体"/>
                <w:b/>
                <w:kern w:val="0"/>
                <w:sz w:val="18"/>
                <w:szCs w:val="18"/>
              </w:rPr>
              <w:t>20</w:t>
            </w:r>
            <w:r>
              <w:rPr>
                <w:rFonts w:hint="eastAsia" w:ascii="Times New Roman" w:hAnsi="Times New Roman" w:eastAsia="宋体"/>
                <w:b/>
                <w:kern w:val="0"/>
                <w:sz w:val="18"/>
                <w:szCs w:val="18"/>
              </w:rPr>
              <w:t>y</w:t>
            </w:r>
            <w:r>
              <w:rPr>
                <w:rFonts w:ascii="Times New Roman" w:hAnsi="Times New Roman" w:eastAsia="宋体"/>
                <w:b/>
                <w:kern w:val="0"/>
                <w:sz w:val="18"/>
                <w:szCs w:val="18"/>
              </w:rPr>
              <w:t>1</w:t>
            </w:r>
          </w:p>
        </w:tc>
        <w:tc>
          <w:tcPr>
            <w:tcW w:w="654" w:type="dxa"/>
            <w:vAlign w:val="center"/>
          </w:tcPr>
          <w:p>
            <w:pPr>
              <w:widowControl/>
              <w:spacing w:line="240" w:lineRule="auto"/>
              <w:jc w:val="center"/>
              <w:rPr>
                <w:rFonts w:ascii="Times New Roman" w:hAnsi="Times New Roman" w:eastAsia="宋体"/>
                <w:b/>
                <w:kern w:val="0"/>
                <w:sz w:val="18"/>
                <w:szCs w:val="18"/>
              </w:rPr>
            </w:pPr>
            <w:r>
              <w:rPr>
                <w:rFonts w:ascii="Times New Roman" w:hAnsi="Times New Roman" w:eastAsia="宋体"/>
                <w:b/>
                <w:kern w:val="0"/>
                <w:sz w:val="18"/>
                <w:szCs w:val="18"/>
              </w:rPr>
              <w:t>20</w:t>
            </w:r>
            <w:r>
              <w:rPr>
                <w:rFonts w:hint="eastAsia" w:ascii="Times New Roman" w:hAnsi="Times New Roman" w:eastAsia="宋体"/>
                <w:b/>
                <w:kern w:val="0"/>
                <w:sz w:val="18"/>
                <w:szCs w:val="18"/>
              </w:rPr>
              <w:t>y</w:t>
            </w:r>
            <w:r>
              <w:rPr>
                <w:rFonts w:ascii="Times New Roman" w:hAnsi="Times New Roman" w:eastAsia="宋体"/>
                <w:b/>
                <w:kern w:val="0"/>
                <w:sz w:val="18"/>
                <w:szCs w:val="18"/>
              </w:rPr>
              <w:t>2</w:t>
            </w:r>
          </w:p>
        </w:tc>
        <w:tc>
          <w:tcPr>
            <w:tcW w:w="654" w:type="dxa"/>
            <w:vAlign w:val="center"/>
          </w:tcPr>
          <w:p>
            <w:pPr>
              <w:widowControl/>
              <w:spacing w:line="240" w:lineRule="auto"/>
              <w:jc w:val="center"/>
              <w:rPr>
                <w:rFonts w:ascii="Times New Roman" w:hAnsi="Times New Roman" w:eastAsia="宋体"/>
                <w:b/>
                <w:kern w:val="0"/>
                <w:sz w:val="18"/>
                <w:szCs w:val="18"/>
              </w:rPr>
            </w:pPr>
            <w:r>
              <w:rPr>
                <w:rFonts w:ascii="Times New Roman" w:hAnsi="Times New Roman" w:eastAsia="宋体"/>
                <w:b/>
                <w:kern w:val="0"/>
                <w:sz w:val="18"/>
                <w:szCs w:val="18"/>
              </w:rPr>
              <w:t>20</w:t>
            </w:r>
            <w:r>
              <w:rPr>
                <w:rFonts w:hint="eastAsia" w:ascii="Times New Roman" w:hAnsi="Times New Roman" w:eastAsia="宋体"/>
                <w:b/>
                <w:kern w:val="0"/>
                <w:sz w:val="18"/>
                <w:szCs w:val="18"/>
              </w:rPr>
              <w:t>y</w:t>
            </w:r>
            <w:r>
              <w:rPr>
                <w:rFonts w:ascii="Times New Roman" w:hAnsi="Times New Roman" w:eastAsia="宋体"/>
                <w:b/>
                <w:kern w:val="0"/>
                <w:sz w:val="18"/>
                <w:szCs w:val="18"/>
              </w:rPr>
              <w:t>3</w:t>
            </w:r>
          </w:p>
        </w:tc>
        <w:tc>
          <w:tcPr>
            <w:tcW w:w="654" w:type="dxa"/>
            <w:vAlign w:val="center"/>
          </w:tcPr>
          <w:p>
            <w:pPr>
              <w:widowControl/>
              <w:spacing w:line="240" w:lineRule="auto"/>
              <w:jc w:val="center"/>
              <w:rPr>
                <w:rFonts w:ascii="Times New Roman" w:hAnsi="Times New Roman" w:eastAsia="宋体"/>
                <w:b/>
                <w:kern w:val="0"/>
                <w:sz w:val="18"/>
                <w:szCs w:val="18"/>
              </w:rPr>
            </w:pPr>
            <w:r>
              <w:rPr>
                <w:rFonts w:ascii="Times New Roman" w:hAnsi="Times New Roman" w:eastAsia="宋体"/>
                <w:b/>
                <w:kern w:val="0"/>
                <w:sz w:val="18"/>
                <w:szCs w:val="18"/>
              </w:rPr>
              <w:t>20</w:t>
            </w:r>
            <w:r>
              <w:rPr>
                <w:rFonts w:hint="eastAsia" w:ascii="Times New Roman" w:hAnsi="Times New Roman" w:eastAsia="宋体"/>
                <w:b/>
                <w:kern w:val="0"/>
                <w:sz w:val="18"/>
                <w:szCs w:val="18"/>
              </w:rPr>
              <w:t>y</w:t>
            </w:r>
            <w:r>
              <w:rPr>
                <w:rFonts w:ascii="Times New Roman" w:hAnsi="Times New Roman" w:eastAsia="宋体"/>
                <w:b/>
                <w:kern w:val="0"/>
                <w:sz w:val="18"/>
                <w:szCs w:val="18"/>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960" w:type="dxa"/>
            <w:vAlign w:val="center"/>
          </w:tcPr>
          <w:p>
            <w:pPr>
              <w:widowControl/>
              <w:spacing w:line="240" w:lineRule="auto"/>
              <w:jc w:val="left"/>
              <w:rPr>
                <w:rFonts w:ascii="Times New Roman" w:hAnsi="Times New Roman" w:eastAsia="宋体"/>
                <w:b/>
                <w:kern w:val="0"/>
                <w:sz w:val="18"/>
                <w:szCs w:val="18"/>
              </w:rPr>
            </w:pPr>
            <w:r>
              <w:rPr>
                <w:rFonts w:ascii="Times New Roman" w:hAnsi="宋体" w:eastAsia="宋体"/>
                <w:b/>
                <w:kern w:val="0"/>
                <w:sz w:val="18"/>
                <w:szCs w:val="18"/>
              </w:rPr>
              <w:t>保险业务收入</w:t>
            </w:r>
          </w:p>
        </w:tc>
        <w:tc>
          <w:tcPr>
            <w:tcW w:w="657" w:type="dxa"/>
            <w:vAlign w:val="center"/>
          </w:tcPr>
          <w:p>
            <w:pPr>
              <w:widowControl/>
              <w:spacing w:line="240" w:lineRule="auto"/>
              <w:jc w:val="center"/>
              <w:rPr>
                <w:rFonts w:ascii="Times New Roman" w:hAnsi="Times New Roman" w:eastAsia="宋体"/>
                <w:kern w:val="0"/>
                <w:sz w:val="18"/>
                <w:szCs w:val="18"/>
              </w:rPr>
            </w:pPr>
            <w:r>
              <w:rPr>
                <w:rFonts w:ascii="Times New Roman" w:hAnsi="Times New Roman" w:eastAsia="宋体"/>
                <w:kern w:val="0"/>
                <w:sz w:val="18"/>
                <w:szCs w:val="18"/>
              </w:rPr>
              <w:t>21.61</w:t>
            </w:r>
          </w:p>
        </w:tc>
        <w:tc>
          <w:tcPr>
            <w:tcW w:w="657" w:type="dxa"/>
            <w:vAlign w:val="center"/>
          </w:tcPr>
          <w:p>
            <w:pPr>
              <w:widowControl/>
              <w:spacing w:line="240" w:lineRule="auto"/>
              <w:jc w:val="center"/>
              <w:rPr>
                <w:rFonts w:ascii="Times New Roman" w:hAnsi="Times New Roman" w:eastAsia="宋体"/>
                <w:kern w:val="0"/>
                <w:sz w:val="18"/>
                <w:szCs w:val="18"/>
              </w:rPr>
            </w:pPr>
            <w:r>
              <w:rPr>
                <w:rFonts w:ascii="Times New Roman" w:hAnsi="Times New Roman" w:eastAsia="宋体"/>
                <w:kern w:val="0"/>
                <w:sz w:val="18"/>
                <w:szCs w:val="18"/>
              </w:rPr>
              <w:t>24.67</w:t>
            </w:r>
          </w:p>
        </w:tc>
        <w:tc>
          <w:tcPr>
            <w:tcW w:w="655" w:type="dxa"/>
            <w:vAlign w:val="center"/>
          </w:tcPr>
          <w:p>
            <w:pPr>
              <w:widowControl/>
              <w:spacing w:line="240" w:lineRule="auto"/>
              <w:jc w:val="center"/>
              <w:rPr>
                <w:rFonts w:ascii="Times New Roman" w:hAnsi="Times New Roman" w:eastAsia="宋体"/>
                <w:kern w:val="0"/>
                <w:sz w:val="18"/>
                <w:szCs w:val="18"/>
              </w:rPr>
            </w:pPr>
            <w:r>
              <w:rPr>
                <w:rFonts w:ascii="Times New Roman" w:hAnsi="Times New Roman" w:eastAsia="宋体"/>
                <w:kern w:val="0"/>
                <w:sz w:val="18"/>
                <w:szCs w:val="18"/>
              </w:rPr>
              <w:t>29.20</w:t>
            </w:r>
          </w:p>
        </w:tc>
        <w:tc>
          <w:tcPr>
            <w:tcW w:w="655" w:type="dxa"/>
            <w:vAlign w:val="center"/>
          </w:tcPr>
          <w:p>
            <w:pPr>
              <w:widowControl/>
              <w:spacing w:line="240" w:lineRule="auto"/>
              <w:jc w:val="center"/>
              <w:rPr>
                <w:rFonts w:ascii="Times New Roman" w:hAnsi="Times New Roman" w:eastAsia="宋体"/>
                <w:kern w:val="0"/>
                <w:sz w:val="18"/>
                <w:szCs w:val="18"/>
              </w:rPr>
            </w:pPr>
            <w:r>
              <w:rPr>
                <w:rFonts w:ascii="Times New Roman" w:hAnsi="Times New Roman" w:eastAsia="宋体"/>
                <w:kern w:val="0"/>
                <w:sz w:val="18"/>
                <w:szCs w:val="18"/>
              </w:rPr>
              <w:t>34.26</w:t>
            </w:r>
          </w:p>
        </w:tc>
        <w:tc>
          <w:tcPr>
            <w:tcW w:w="654" w:type="dxa"/>
            <w:vAlign w:val="center"/>
          </w:tcPr>
          <w:p>
            <w:pPr>
              <w:widowControl/>
              <w:spacing w:line="240" w:lineRule="auto"/>
              <w:jc w:val="center"/>
              <w:rPr>
                <w:rFonts w:ascii="Times New Roman" w:hAnsi="Times New Roman" w:eastAsia="宋体"/>
                <w:kern w:val="0"/>
                <w:sz w:val="18"/>
                <w:szCs w:val="18"/>
              </w:rPr>
            </w:pPr>
            <w:r>
              <w:rPr>
                <w:rFonts w:ascii="Times New Roman" w:hAnsi="Times New Roman" w:eastAsia="宋体"/>
                <w:kern w:val="0"/>
                <w:sz w:val="18"/>
                <w:szCs w:val="18"/>
              </w:rPr>
              <w:t>39.78</w:t>
            </w:r>
          </w:p>
        </w:tc>
        <w:tc>
          <w:tcPr>
            <w:tcW w:w="654" w:type="dxa"/>
            <w:vAlign w:val="center"/>
          </w:tcPr>
          <w:p>
            <w:pPr>
              <w:widowControl/>
              <w:spacing w:line="240" w:lineRule="auto"/>
              <w:jc w:val="center"/>
              <w:rPr>
                <w:rFonts w:ascii="Times New Roman" w:hAnsi="Times New Roman" w:eastAsia="宋体"/>
                <w:kern w:val="0"/>
                <w:sz w:val="18"/>
                <w:szCs w:val="18"/>
              </w:rPr>
            </w:pPr>
            <w:r>
              <w:rPr>
                <w:rFonts w:ascii="Times New Roman" w:hAnsi="Times New Roman" w:eastAsia="宋体"/>
                <w:kern w:val="0"/>
                <w:sz w:val="18"/>
                <w:szCs w:val="18"/>
              </w:rPr>
              <w:t>45.21</w:t>
            </w:r>
          </w:p>
        </w:tc>
        <w:tc>
          <w:tcPr>
            <w:tcW w:w="654" w:type="dxa"/>
            <w:vAlign w:val="center"/>
          </w:tcPr>
          <w:p>
            <w:pPr>
              <w:widowControl/>
              <w:spacing w:line="240" w:lineRule="auto"/>
              <w:jc w:val="center"/>
              <w:rPr>
                <w:rFonts w:ascii="Times New Roman" w:hAnsi="Times New Roman" w:eastAsia="宋体"/>
                <w:kern w:val="0"/>
                <w:sz w:val="18"/>
                <w:szCs w:val="18"/>
              </w:rPr>
            </w:pPr>
            <w:r>
              <w:rPr>
                <w:rFonts w:ascii="Times New Roman" w:hAnsi="Times New Roman" w:eastAsia="宋体"/>
                <w:kern w:val="0"/>
                <w:sz w:val="18"/>
                <w:szCs w:val="18"/>
              </w:rPr>
              <w:t>50.67</w:t>
            </w:r>
          </w:p>
        </w:tc>
        <w:tc>
          <w:tcPr>
            <w:tcW w:w="654" w:type="dxa"/>
            <w:vAlign w:val="center"/>
          </w:tcPr>
          <w:p>
            <w:pPr>
              <w:widowControl/>
              <w:spacing w:line="240" w:lineRule="auto"/>
              <w:jc w:val="center"/>
              <w:rPr>
                <w:rFonts w:ascii="Times New Roman" w:hAnsi="Times New Roman" w:eastAsia="宋体"/>
                <w:kern w:val="0"/>
                <w:sz w:val="18"/>
                <w:szCs w:val="18"/>
              </w:rPr>
            </w:pPr>
            <w:r>
              <w:rPr>
                <w:rFonts w:ascii="Times New Roman" w:hAnsi="Times New Roman" w:eastAsia="宋体"/>
                <w:kern w:val="0"/>
                <w:sz w:val="18"/>
                <w:szCs w:val="18"/>
              </w:rPr>
              <w:t>56.32</w:t>
            </w:r>
          </w:p>
        </w:tc>
        <w:tc>
          <w:tcPr>
            <w:tcW w:w="654" w:type="dxa"/>
            <w:vAlign w:val="center"/>
          </w:tcPr>
          <w:p>
            <w:pPr>
              <w:widowControl/>
              <w:spacing w:line="240" w:lineRule="auto"/>
              <w:jc w:val="center"/>
              <w:rPr>
                <w:rFonts w:ascii="Times New Roman" w:hAnsi="Times New Roman" w:eastAsia="宋体"/>
                <w:kern w:val="0"/>
                <w:sz w:val="18"/>
                <w:szCs w:val="18"/>
              </w:rPr>
            </w:pPr>
            <w:r>
              <w:rPr>
                <w:rFonts w:ascii="Times New Roman" w:hAnsi="Times New Roman" w:eastAsia="宋体"/>
                <w:kern w:val="0"/>
                <w:sz w:val="18"/>
                <w:szCs w:val="18"/>
              </w:rPr>
              <w:t>61.68</w:t>
            </w:r>
          </w:p>
        </w:tc>
        <w:tc>
          <w:tcPr>
            <w:tcW w:w="654" w:type="dxa"/>
            <w:vAlign w:val="center"/>
          </w:tcPr>
          <w:p>
            <w:pPr>
              <w:widowControl/>
              <w:spacing w:line="240" w:lineRule="auto"/>
              <w:jc w:val="center"/>
              <w:rPr>
                <w:rFonts w:ascii="Times New Roman" w:hAnsi="Times New Roman" w:eastAsia="宋体"/>
                <w:kern w:val="0"/>
                <w:sz w:val="18"/>
                <w:szCs w:val="18"/>
              </w:rPr>
            </w:pPr>
            <w:r>
              <w:rPr>
                <w:rFonts w:ascii="Times New Roman" w:hAnsi="Times New Roman" w:eastAsia="宋体"/>
                <w:kern w:val="0"/>
                <w:sz w:val="18"/>
                <w:szCs w:val="18"/>
              </w:rPr>
              <w:t>67.48</w:t>
            </w:r>
          </w:p>
        </w:tc>
        <w:tc>
          <w:tcPr>
            <w:tcW w:w="654" w:type="dxa"/>
            <w:vAlign w:val="center"/>
          </w:tcPr>
          <w:p>
            <w:pPr>
              <w:widowControl/>
              <w:spacing w:line="240" w:lineRule="auto"/>
              <w:jc w:val="center"/>
              <w:rPr>
                <w:rFonts w:ascii="Times New Roman" w:hAnsi="Times New Roman" w:eastAsia="宋体"/>
                <w:kern w:val="0"/>
                <w:sz w:val="18"/>
                <w:szCs w:val="18"/>
              </w:rPr>
            </w:pPr>
            <w:r>
              <w:rPr>
                <w:rFonts w:ascii="Times New Roman" w:hAnsi="Times New Roman" w:eastAsia="宋体"/>
                <w:kern w:val="0"/>
                <w:sz w:val="18"/>
                <w:szCs w:val="18"/>
              </w:rPr>
              <w:t>73.29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960" w:type="dxa"/>
            <w:vAlign w:val="center"/>
          </w:tcPr>
          <w:p>
            <w:pPr>
              <w:widowControl/>
              <w:spacing w:line="240" w:lineRule="auto"/>
              <w:jc w:val="left"/>
              <w:rPr>
                <w:rFonts w:ascii="Times New Roman" w:hAnsi="Times New Roman" w:eastAsia="宋体"/>
                <w:b/>
                <w:kern w:val="0"/>
                <w:sz w:val="18"/>
                <w:szCs w:val="18"/>
              </w:rPr>
            </w:pPr>
            <w:r>
              <w:rPr>
                <w:rFonts w:ascii="Times New Roman" w:hAnsi="宋体" w:eastAsia="宋体"/>
                <w:b/>
                <w:kern w:val="0"/>
                <w:sz w:val="18"/>
                <w:szCs w:val="18"/>
              </w:rPr>
              <w:t>分出保费</w:t>
            </w:r>
          </w:p>
        </w:tc>
        <w:tc>
          <w:tcPr>
            <w:tcW w:w="657" w:type="dxa"/>
            <w:vAlign w:val="center"/>
          </w:tcPr>
          <w:p>
            <w:pPr>
              <w:widowControl/>
              <w:spacing w:line="240" w:lineRule="auto"/>
              <w:jc w:val="center"/>
              <w:rPr>
                <w:rFonts w:ascii="Times New Roman" w:hAnsi="Times New Roman" w:eastAsia="宋体"/>
                <w:kern w:val="0"/>
                <w:sz w:val="18"/>
                <w:szCs w:val="18"/>
              </w:rPr>
            </w:pPr>
            <w:r>
              <w:rPr>
                <w:rFonts w:ascii="Times New Roman" w:hAnsi="Times New Roman" w:eastAsia="宋体"/>
                <w:kern w:val="0"/>
                <w:sz w:val="18"/>
                <w:szCs w:val="18"/>
              </w:rPr>
              <w:t>11.23</w:t>
            </w:r>
          </w:p>
        </w:tc>
        <w:tc>
          <w:tcPr>
            <w:tcW w:w="657" w:type="dxa"/>
            <w:vAlign w:val="center"/>
          </w:tcPr>
          <w:p>
            <w:pPr>
              <w:widowControl/>
              <w:spacing w:line="240" w:lineRule="auto"/>
              <w:jc w:val="center"/>
              <w:rPr>
                <w:rFonts w:ascii="Times New Roman" w:hAnsi="Times New Roman" w:eastAsia="宋体"/>
                <w:kern w:val="0"/>
                <w:sz w:val="18"/>
                <w:szCs w:val="18"/>
              </w:rPr>
            </w:pPr>
            <w:r>
              <w:rPr>
                <w:rFonts w:ascii="Times New Roman" w:hAnsi="Times New Roman" w:eastAsia="宋体"/>
                <w:kern w:val="0"/>
                <w:sz w:val="18"/>
                <w:szCs w:val="18"/>
              </w:rPr>
              <w:t>9.00</w:t>
            </w:r>
          </w:p>
        </w:tc>
        <w:tc>
          <w:tcPr>
            <w:tcW w:w="655" w:type="dxa"/>
            <w:vAlign w:val="center"/>
          </w:tcPr>
          <w:p>
            <w:pPr>
              <w:widowControl/>
              <w:spacing w:line="240" w:lineRule="auto"/>
              <w:jc w:val="center"/>
              <w:rPr>
                <w:rFonts w:ascii="Times New Roman" w:hAnsi="Times New Roman" w:eastAsia="宋体"/>
                <w:kern w:val="0"/>
                <w:sz w:val="18"/>
                <w:szCs w:val="18"/>
              </w:rPr>
            </w:pPr>
            <w:r>
              <w:rPr>
                <w:rFonts w:ascii="Times New Roman" w:hAnsi="Times New Roman" w:eastAsia="宋体"/>
                <w:kern w:val="0"/>
                <w:sz w:val="18"/>
                <w:szCs w:val="18"/>
              </w:rPr>
              <w:t>7.27</w:t>
            </w:r>
          </w:p>
        </w:tc>
        <w:tc>
          <w:tcPr>
            <w:tcW w:w="655" w:type="dxa"/>
            <w:vAlign w:val="center"/>
          </w:tcPr>
          <w:p>
            <w:pPr>
              <w:widowControl/>
              <w:spacing w:line="240" w:lineRule="auto"/>
              <w:jc w:val="center"/>
              <w:rPr>
                <w:rFonts w:ascii="Times New Roman" w:hAnsi="Times New Roman" w:eastAsia="宋体"/>
                <w:kern w:val="0"/>
                <w:sz w:val="18"/>
                <w:szCs w:val="18"/>
              </w:rPr>
            </w:pPr>
            <w:r>
              <w:rPr>
                <w:rFonts w:ascii="Times New Roman" w:hAnsi="Times New Roman" w:eastAsia="宋体"/>
                <w:kern w:val="0"/>
                <w:sz w:val="18"/>
                <w:szCs w:val="18"/>
              </w:rPr>
              <w:t>6.39</w:t>
            </w:r>
          </w:p>
        </w:tc>
        <w:tc>
          <w:tcPr>
            <w:tcW w:w="654" w:type="dxa"/>
            <w:vAlign w:val="center"/>
          </w:tcPr>
          <w:p>
            <w:pPr>
              <w:widowControl/>
              <w:spacing w:line="240" w:lineRule="auto"/>
              <w:jc w:val="center"/>
              <w:rPr>
                <w:rFonts w:ascii="Times New Roman" w:hAnsi="Times New Roman" w:eastAsia="宋体"/>
                <w:kern w:val="0"/>
                <w:sz w:val="18"/>
                <w:szCs w:val="18"/>
              </w:rPr>
            </w:pPr>
            <w:r>
              <w:rPr>
                <w:rFonts w:ascii="Times New Roman" w:hAnsi="Times New Roman" w:eastAsia="宋体"/>
                <w:kern w:val="0"/>
                <w:sz w:val="18"/>
                <w:szCs w:val="18"/>
              </w:rPr>
              <w:t>5.65</w:t>
            </w:r>
          </w:p>
        </w:tc>
        <w:tc>
          <w:tcPr>
            <w:tcW w:w="654" w:type="dxa"/>
            <w:vAlign w:val="center"/>
          </w:tcPr>
          <w:p>
            <w:pPr>
              <w:widowControl/>
              <w:spacing w:line="240" w:lineRule="auto"/>
              <w:jc w:val="center"/>
              <w:rPr>
                <w:rFonts w:ascii="Times New Roman" w:hAnsi="Times New Roman" w:eastAsia="宋体"/>
                <w:kern w:val="0"/>
                <w:sz w:val="18"/>
                <w:szCs w:val="18"/>
              </w:rPr>
            </w:pPr>
            <w:r>
              <w:rPr>
                <w:rFonts w:ascii="Times New Roman" w:hAnsi="Times New Roman" w:eastAsia="宋体"/>
                <w:kern w:val="0"/>
                <w:sz w:val="18"/>
                <w:szCs w:val="18"/>
              </w:rPr>
              <w:t>5.18</w:t>
            </w:r>
          </w:p>
        </w:tc>
        <w:tc>
          <w:tcPr>
            <w:tcW w:w="654" w:type="dxa"/>
            <w:vAlign w:val="center"/>
          </w:tcPr>
          <w:p>
            <w:pPr>
              <w:widowControl/>
              <w:spacing w:line="240" w:lineRule="auto"/>
              <w:jc w:val="center"/>
              <w:rPr>
                <w:rFonts w:ascii="Times New Roman" w:hAnsi="Times New Roman" w:eastAsia="宋体"/>
                <w:kern w:val="0"/>
                <w:sz w:val="18"/>
                <w:szCs w:val="18"/>
              </w:rPr>
            </w:pPr>
            <w:r>
              <w:rPr>
                <w:rFonts w:ascii="Times New Roman" w:hAnsi="Times New Roman" w:eastAsia="宋体"/>
                <w:kern w:val="0"/>
                <w:sz w:val="18"/>
                <w:szCs w:val="18"/>
              </w:rPr>
              <w:t>4.83</w:t>
            </w:r>
          </w:p>
        </w:tc>
        <w:tc>
          <w:tcPr>
            <w:tcW w:w="654" w:type="dxa"/>
            <w:vAlign w:val="center"/>
          </w:tcPr>
          <w:p>
            <w:pPr>
              <w:widowControl/>
              <w:spacing w:line="240" w:lineRule="auto"/>
              <w:jc w:val="center"/>
              <w:rPr>
                <w:rFonts w:ascii="Times New Roman" w:hAnsi="Times New Roman" w:eastAsia="宋体"/>
                <w:kern w:val="0"/>
                <w:sz w:val="18"/>
                <w:szCs w:val="18"/>
              </w:rPr>
            </w:pPr>
            <w:r>
              <w:rPr>
                <w:rFonts w:ascii="Times New Roman" w:hAnsi="Times New Roman" w:eastAsia="宋体"/>
                <w:kern w:val="0"/>
                <w:sz w:val="18"/>
                <w:szCs w:val="18"/>
              </w:rPr>
              <w:t>3.95</w:t>
            </w:r>
          </w:p>
        </w:tc>
        <w:tc>
          <w:tcPr>
            <w:tcW w:w="654" w:type="dxa"/>
            <w:vAlign w:val="center"/>
          </w:tcPr>
          <w:p>
            <w:pPr>
              <w:widowControl/>
              <w:spacing w:line="240" w:lineRule="auto"/>
              <w:jc w:val="center"/>
              <w:rPr>
                <w:rFonts w:ascii="Times New Roman" w:hAnsi="Times New Roman" w:eastAsia="宋体"/>
                <w:kern w:val="0"/>
                <w:sz w:val="18"/>
                <w:szCs w:val="18"/>
              </w:rPr>
            </w:pPr>
            <w:r>
              <w:rPr>
                <w:rFonts w:ascii="Times New Roman" w:hAnsi="Times New Roman" w:eastAsia="宋体"/>
                <w:kern w:val="0"/>
                <w:sz w:val="18"/>
                <w:szCs w:val="18"/>
              </w:rPr>
              <w:t>1.74</w:t>
            </w:r>
          </w:p>
        </w:tc>
        <w:tc>
          <w:tcPr>
            <w:tcW w:w="654" w:type="dxa"/>
            <w:vAlign w:val="center"/>
          </w:tcPr>
          <w:p>
            <w:pPr>
              <w:widowControl/>
              <w:spacing w:line="240" w:lineRule="auto"/>
              <w:jc w:val="center"/>
              <w:rPr>
                <w:rFonts w:ascii="Times New Roman" w:hAnsi="Times New Roman" w:eastAsia="宋体"/>
                <w:kern w:val="0"/>
                <w:sz w:val="18"/>
                <w:szCs w:val="18"/>
              </w:rPr>
            </w:pPr>
            <w:r>
              <w:rPr>
                <w:rFonts w:ascii="Times New Roman" w:hAnsi="Times New Roman" w:eastAsia="宋体"/>
                <w:kern w:val="0"/>
                <w:sz w:val="18"/>
                <w:szCs w:val="18"/>
              </w:rPr>
              <w:t>1.09</w:t>
            </w:r>
          </w:p>
        </w:tc>
        <w:tc>
          <w:tcPr>
            <w:tcW w:w="654" w:type="dxa"/>
            <w:vAlign w:val="center"/>
          </w:tcPr>
          <w:p>
            <w:pPr>
              <w:widowControl/>
              <w:spacing w:line="240" w:lineRule="auto"/>
              <w:jc w:val="center"/>
              <w:rPr>
                <w:rFonts w:ascii="Times New Roman" w:hAnsi="Times New Roman" w:eastAsia="宋体"/>
                <w:kern w:val="0"/>
                <w:sz w:val="18"/>
                <w:szCs w:val="18"/>
              </w:rPr>
            </w:pPr>
            <w:r>
              <w:rPr>
                <w:rFonts w:ascii="Times New Roman" w:hAnsi="Times New Roman" w:eastAsia="宋体"/>
                <w:kern w:val="0"/>
                <w:sz w:val="18"/>
                <w:szCs w:val="18"/>
              </w:rPr>
              <w:t>0.59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960" w:type="dxa"/>
            <w:vAlign w:val="center"/>
          </w:tcPr>
          <w:p>
            <w:pPr>
              <w:widowControl/>
              <w:spacing w:line="240" w:lineRule="auto"/>
              <w:jc w:val="left"/>
              <w:rPr>
                <w:rFonts w:ascii="Times New Roman" w:hAnsi="Times New Roman" w:eastAsia="宋体"/>
                <w:b/>
                <w:kern w:val="0"/>
                <w:sz w:val="18"/>
                <w:szCs w:val="18"/>
              </w:rPr>
            </w:pPr>
            <w:r>
              <w:rPr>
                <w:rFonts w:ascii="Times New Roman" w:hAnsi="宋体" w:eastAsia="宋体"/>
                <w:b/>
                <w:kern w:val="0"/>
                <w:sz w:val="18"/>
                <w:szCs w:val="18"/>
              </w:rPr>
              <w:t>提取未到期</w:t>
            </w:r>
          </w:p>
          <w:p>
            <w:pPr>
              <w:widowControl/>
              <w:spacing w:line="240" w:lineRule="auto"/>
              <w:jc w:val="left"/>
              <w:rPr>
                <w:rFonts w:ascii="Times New Roman" w:hAnsi="Times New Roman" w:eastAsia="宋体"/>
                <w:b/>
                <w:kern w:val="0"/>
                <w:sz w:val="18"/>
                <w:szCs w:val="18"/>
              </w:rPr>
            </w:pPr>
            <w:r>
              <w:rPr>
                <w:rFonts w:ascii="Times New Roman" w:hAnsi="宋体" w:eastAsia="宋体"/>
                <w:b/>
                <w:kern w:val="0"/>
                <w:sz w:val="18"/>
                <w:szCs w:val="18"/>
              </w:rPr>
              <w:t>责任准备金</w:t>
            </w:r>
          </w:p>
        </w:tc>
        <w:tc>
          <w:tcPr>
            <w:tcW w:w="657" w:type="dxa"/>
            <w:vAlign w:val="center"/>
          </w:tcPr>
          <w:p>
            <w:pPr>
              <w:widowControl/>
              <w:spacing w:line="240" w:lineRule="auto"/>
              <w:jc w:val="center"/>
              <w:rPr>
                <w:rFonts w:ascii="Times New Roman" w:hAnsi="Times New Roman" w:eastAsia="宋体"/>
                <w:kern w:val="0"/>
                <w:sz w:val="18"/>
                <w:szCs w:val="18"/>
              </w:rPr>
            </w:pPr>
            <w:r>
              <w:rPr>
                <w:rFonts w:ascii="Times New Roman" w:hAnsi="Times New Roman" w:eastAsia="宋体"/>
                <w:kern w:val="0"/>
                <w:sz w:val="18"/>
                <w:szCs w:val="18"/>
              </w:rPr>
              <w:t>0.03</w:t>
            </w:r>
          </w:p>
        </w:tc>
        <w:tc>
          <w:tcPr>
            <w:tcW w:w="657" w:type="dxa"/>
            <w:vAlign w:val="center"/>
          </w:tcPr>
          <w:p>
            <w:pPr>
              <w:widowControl/>
              <w:spacing w:line="240" w:lineRule="auto"/>
              <w:jc w:val="center"/>
              <w:rPr>
                <w:rFonts w:ascii="Times New Roman" w:hAnsi="Times New Roman" w:eastAsia="宋体"/>
                <w:kern w:val="0"/>
                <w:sz w:val="18"/>
                <w:szCs w:val="18"/>
              </w:rPr>
            </w:pPr>
            <w:r>
              <w:rPr>
                <w:rFonts w:ascii="Times New Roman" w:hAnsi="Times New Roman" w:eastAsia="宋体"/>
                <w:kern w:val="0"/>
                <w:sz w:val="18"/>
                <w:szCs w:val="18"/>
              </w:rPr>
              <w:t>0.04</w:t>
            </w:r>
          </w:p>
        </w:tc>
        <w:tc>
          <w:tcPr>
            <w:tcW w:w="655" w:type="dxa"/>
            <w:vAlign w:val="center"/>
          </w:tcPr>
          <w:p>
            <w:pPr>
              <w:widowControl/>
              <w:spacing w:line="240" w:lineRule="auto"/>
              <w:jc w:val="center"/>
              <w:rPr>
                <w:rFonts w:ascii="Times New Roman" w:hAnsi="Times New Roman" w:eastAsia="宋体"/>
                <w:kern w:val="0"/>
                <w:sz w:val="18"/>
                <w:szCs w:val="18"/>
              </w:rPr>
            </w:pPr>
            <w:r>
              <w:rPr>
                <w:rFonts w:ascii="Times New Roman" w:hAnsi="Times New Roman" w:eastAsia="宋体"/>
                <w:kern w:val="0"/>
                <w:sz w:val="18"/>
                <w:szCs w:val="18"/>
              </w:rPr>
              <w:t>0.04</w:t>
            </w:r>
          </w:p>
        </w:tc>
        <w:tc>
          <w:tcPr>
            <w:tcW w:w="655" w:type="dxa"/>
            <w:vAlign w:val="center"/>
          </w:tcPr>
          <w:p>
            <w:pPr>
              <w:widowControl/>
              <w:spacing w:line="240" w:lineRule="auto"/>
              <w:jc w:val="center"/>
              <w:rPr>
                <w:rFonts w:ascii="Times New Roman" w:hAnsi="Times New Roman" w:eastAsia="宋体"/>
                <w:kern w:val="0"/>
                <w:sz w:val="18"/>
                <w:szCs w:val="18"/>
              </w:rPr>
            </w:pPr>
            <w:r>
              <w:rPr>
                <w:rFonts w:ascii="Times New Roman" w:hAnsi="Times New Roman" w:eastAsia="宋体"/>
                <w:kern w:val="0"/>
                <w:sz w:val="18"/>
                <w:szCs w:val="18"/>
              </w:rPr>
              <w:t>0.04</w:t>
            </w:r>
          </w:p>
        </w:tc>
        <w:tc>
          <w:tcPr>
            <w:tcW w:w="654" w:type="dxa"/>
            <w:vAlign w:val="center"/>
          </w:tcPr>
          <w:p>
            <w:pPr>
              <w:widowControl/>
              <w:spacing w:line="240" w:lineRule="auto"/>
              <w:jc w:val="center"/>
              <w:rPr>
                <w:rFonts w:ascii="Times New Roman" w:hAnsi="Times New Roman" w:eastAsia="宋体"/>
                <w:kern w:val="0"/>
                <w:sz w:val="18"/>
                <w:szCs w:val="18"/>
              </w:rPr>
            </w:pPr>
            <w:r>
              <w:rPr>
                <w:rFonts w:ascii="Times New Roman" w:hAnsi="Times New Roman" w:eastAsia="宋体"/>
                <w:kern w:val="0"/>
                <w:sz w:val="18"/>
                <w:szCs w:val="18"/>
              </w:rPr>
              <w:t>0.05</w:t>
            </w:r>
          </w:p>
        </w:tc>
        <w:tc>
          <w:tcPr>
            <w:tcW w:w="654" w:type="dxa"/>
            <w:vAlign w:val="center"/>
          </w:tcPr>
          <w:p>
            <w:pPr>
              <w:widowControl/>
              <w:spacing w:line="240" w:lineRule="auto"/>
              <w:jc w:val="center"/>
              <w:rPr>
                <w:rFonts w:ascii="Times New Roman" w:hAnsi="Times New Roman" w:eastAsia="宋体"/>
                <w:kern w:val="0"/>
                <w:sz w:val="18"/>
                <w:szCs w:val="18"/>
              </w:rPr>
            </w:pPr>
            <w:r>
              <w:rPr>
                <w:rFonts w:ascii="Times New Roman" w:hAnsi="Times New Roman" w:eastAsia="宋体"/>
                <w:kern w:val="0"/>
                <w:sz w:val="18"/>
                <w:szCs w:val="18"/>
              </w:rPr>
              <w:t>0.05</w:t>
            </w:r>
          </w:p>
        </w:tc>
        <w:tc>
          <w:tcPr>
            <w:tcW w:w="654" w:type="dxa"/>
            <w:vAlign w:val="center"/>
          </w:tcPr>
          <w:p>
            <w:pPr>
              <w:widowControl/>
              <w:spacing w:line="240" w:lineRule="auto"/>
              <w:jc w:val="center"/>
              <w:rPr>
                <w:rFonts w:ascii="Times New Roman" w:hAnsi="Times New Roman" w:eastAsia="宋体"/>
                <w:kern w:val="0"/>
                <w:sz w:val="18"/>
                <w:szCs w:val="18"/>
              </w:rPr>
            </w:pPr>
            <w:r>
              <w:rPr>
                <w:rFonts w:ascii="Times New Roman" w:hAnsi="Times New Roman" w:eastAsia="宋体"/>
                <w:kern w:val="0"/>
                <w:sz w:val="18"/>
                <w:szCs w:val="18"/>
              </w:rPr>
              <w:t>0.06</w:t>
            </w:r>
          </w:p>
        </w:tc>
        <w:tc>
          <w:tcPr>
            <w:tcW w:w="654" w:type="dxa"/>
            <w:vAlign w:val="center"/>
          </w:tcPr>
          <w:p>
            <w:pPr>
              <w:widowControl/>
              <w:spacing w:line="240" w:lineRule="auto"/>
              <w:jc w:val="center"/>
              <w:rPr>
                <w:rFonts w:ascii="Times New Roman" w:hAnsi="Times New Roman" w:eastAsia="宋体"/>
                <w:kern w:val="0"/>
                <w:sz w:val="18"/>
                <w:szCs w:val="18"/>
              </w:rPr>
            </w:pPr>
            <w:r>
              <w:rPr>
                <w:rFonts w:ascii="Times New Roman" w:hAnsi="Times New Roman" w:eastAsia="宋体"/>
                <w:kern w:val="0"/>
                <w:sz w:val="18"/>
                <w:szCs w:val="18"/>
              </w:rPr>
              <w:t>0.07</w:t>
            </w:r>
          </w:p>
        </w:tc>
        <w:tc>
          <w:tcPr>
            <w:tcW w:w="654" w:type="dxa"/>
            <w:vAlign w:val="center"/>
          </w:tcPr>
          <w:p>
            <w:pPr>
              <w:widowControl/>
              <w:spacing w:line="240" w:lineRule="auto"/>
              <w:jc w:val="center"/>
              <w:rPr>
                <w:rFonts w:ascii="Times New Roman" w:hAnsi="Times New Roman" w:eastAsia="宋体"/>
                <w:kern w:val="0"/>
                <w:sz w:val="18"/>
                <w:szCs w:val="18"/>
              </w:rPr>
            </w:pPr>
            <w:r>
              <w:rPr>
                <w:rFonts w:ascii="Times New Roman" w:hAnsi="Times New Roman" w:eastAsia="宋体"/>
                <w:kern w:val="0"/>
                <w:sz w:val="18"/>
                <w:szCs w:val="18"/>
              </w:rPr>
              <w:t>0.07</w:t>
            </w:r>
          </w:p>
        </w:tc>
        <w:tc>
          <w:tcPr>
            <w:tcW w:w="654" w:type="dxa"/>
            <w:vAlign w:val="center"/>
          </w:tcPr>
          <w:p>
            <w:pPr>
              <w:widowControl/>
              <w:spacing w:line="240" w:lineRule="auto"/>
              <w:jc w:val="center"/>
              <w:rPr>
                <w:rFonts w:ascii="Times New Roman" w:hAnsi="Times New Roman" w:eastAsia="宋体"/>
                <w:kern w:val="0"/>
                <w:sz w:val="18"/>
                <w:szCs w:val="18"/>
              </w:rPr>
            </w:pPr>
            <w:r>
              <w:rPr>
                <w:rFonts w:ascii="Times New Roman" w:hAnsi="Times New Roman" w:eastAsia="宋体"/>
                <w:kern w:val="0"/>
                <w:sz w:val="18"/>
                <w:szCs w:val="18"/>
              </w:rPr>
              <w:t>0.08</w:t>
            </w:r>
          </w:p>
        </w:tc>
        <w:tc>
          <w:tcPr>
            <w:tcW w:w="654" w:type="dxa"/>
            <w:vAlign w:val="center"/>
          </w:tcPr>
          <w:p>
            <w:pPr>
              <w:widowControl/>
              <w:spacing w:line="240" w:lineRule="auto"/>
              <w:jc w:val="center"/>
              <w:rPr>
                <w:rFonts w:ascii="Times New Roman" w:hAnsi="Times New Roman" w:eastAsia="宋体"/>
                <w:kern w:val="0"/>
                <w:sz w:val="18"/>
                <w:szCs w:val="18"/>
              </w:rPr>
            </w:pPr>
            <w:r>
              <w:rPr>
                <w:rFonts w:ascii="Times New Roman" w:hAnsi="Times New Roman" w:eastAsia="宋体"/>
                <w:kern w:val="0"/>
                <w:sz w:val="18"/>
                <w:szCs w:val="18"/>
              </w:rPr>
              <w:t>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960" w:type="dxa"/>
            <w:vAlign w:val="center"/>
          </w:tcPr>
          <w:p>
            <w:pPr>
              <w:widowControl/>
              <w:spacing w:line="240" w:lineRule="auto"/>
              <w:jc w:val="left"/>
              <w:rPr>
                <w:rFonts w:ascii="Times New Roman" w:hAnsi="Times New Roman" w:eastAsia="宋体"/>
                <w:b/>
                <w:kern w:val="0"/>
                <w:sz w:val="18"/>
                <w:szCs w:val="18"/>
              </w:rPr>
            </w:pPr>
            <w:r>
              <w:rPr>
                <w:rFonts w:ascii="Times New Roman" w:hAnsi="宋体" w:eastAsia="宋体"/>
                <w:b/>
                <w:kern w:val="0"/>
                <w:sz w:val="18"/>
                <w:szCs w:val="18"/>
              </w:rPr>
              <w:t>已赚保费</w:t>
            </w:r>
          </w:p>
        </w:tc>
        <w:tc>
          <w:tcPr>
            <w:tcW w:w="657" w:type="dxa"/>
            <w:vAlign w:val="center"/>
          </w:tcPr>
          <w:p>
            <w:pPr>
              <w:widowControl/>
              <w:spacing w:line="240" w:lineRule="auto"/>
              <w:jc w:val="center"/>
              <w:rPr>
                <w:rFonts w:ascii="Times New Roman" w:hAnsi="Times New Roman" w:eastAsia="宋体"/>
                <w:b/>
                <w:kern w:val="0"/>
                <w:sz w:val="18"/>
                <w:szCs w:val="18"/>
              </w:rPr>
            </w:pPr>
            <w:r>
              <w:rPr>
                <w:rFonts w:ascii="Times New Roman" w:hAnsi="Times New Roman" w:eastAsia="宋体"/>
                <w:b/>
                <w:kern w:val="0"/>
                <w:sz w:val="18"/>
                <w:szCs w:val="18"/>
              </w:rPr>
              <w:t>10.35</w:t>
            </w:r>
          </w:p>
        </w:tc>
        <w:tc>
          <w:tcPr>
            <w:tcW w:w="657" w:type="dxa"/>
            <w:vAlign w:val="center"/>
          </w:tcPr>
          <w:p>
            <w:pPr>
              <w:widowControl/>
              <w:spacing w:line="240" w:lineRule="auto"/>
              <w:jc w:val="center"/>
              <w:rPr>
                <w:rFonts w:ascii="Times New Roman" w:hAnsi="Times New Roman" w:eastAsia="宋体"/>
                <w:b/>
                <w:kern w:val="0"/>
                <w:sz w:val="18"/>
                <w:szCs w:val="18"/>
              </w:rPr>
            </w:pPr>
            <w:r>
              <w:rPr>
                <w:rFonts w:ascii="Times New Roman" w:hAnsi="Times New Roman" w:eastAsia="宋体"/>
                <w:b/>
                <w:kern w:val="0"/>
                <w:sz w:val="18"/>
                <w:szCs w:val="18"/>
              </w:rPr>
              <w:t>15.64</w:t>
            </w:r>
          </w:p>
        </w:tc>
        <w:tc>
          <w:tcPr>
            <w:tcW w:w="655" w:type="dxa"/>
            <w:vAlign w:val="center"/>
          </w:tcPr>
          <w:p>
            <w:pPr>
              <w:widowControl/>
              <w:spacing w:line="240" w:lineRule="auto"/>
              <w:jc w:val="center"/>
              <w:rPr>
                <w:rFonts w:ascii="Times New Roman" w:hAnsi="Times New Roman" w:eastAsia="宋体"/>
                <w:b/>
                <w:kern w:val="0"/>
                <w:sz w:val="18"/>
                <w:szCs w:val="18"/>
              </w:rPr>
            </w:pPr>
            <w:r>
              <w:rPr>
                <w:rFonts w:ascii="Times New Roman" w:hAnsi="Times New Roman" w:eastAsia="宋体"/>
                <w:b/>
                <w:kern w:val="0"/>
                <w:sz w:val="18"/>
                <w:szCs w:val="18"/>
              </w:rPr>
              <w:t>21.89</w:t>
            </w:r>
          </w:p>
        </w:tc>
        <w:tc>
          <w:tcPr>
            <w:tcW w:w="655" w:type="dxa"/>
            <w:vAlign w:val="center"/>
          </w:tcPr>
          <w:p>
            <w:pPr>
              <w:widowControl/>
              <w:spacing w:line="240" w:lineRule="auto"/>
              <w:jc w:val="center"/>
              <w:rPr>
                <w:rFonts w:ascii="Times New Roman" w:hAnsi="Times New Roman" w:eastAsia="宋体"/>
                <w:b/>
                <w:kern w:val="0"/>
                <w:sz w:val="18"/>
                <w:szCs w:val="18"/>
              </w:rPr>
            </w:pPr>
            <w:r>
              <w:rPr>
                <w:rFonts w:ascii="Times New Roman" w:hAnsi="Times New Roman" w:eastAsia="宋体"/>
                <w:b/>
                <w:kern w:val="0"/>
                <w:sz w:val="18"/>
                <w:szCs w:val="18"/>
              </w:rPr>
              <w:t>27.83</w:t>
            </w:r>
          </w:p>
        </w:tc>
        <w:tc>
          <w:tcPr>
            <w:tcW w:w="654" w:type="dxa"/>
            <w:vAlign w:val="center"/>
          </w:tcPr>
          <w:p>
            <w:pPr>
              <w:widowControl/>
              <w:spacing w:line="240" w:lineRule="auto"/>
              <w:jc w:val="center"/>
              <w:rPr>
                <w:rFonts w:ascii="Times New Roman" w:hAnsi="Times New Roman" w:eastAsia="宋体"/>
                <w:b/>
                <w:kern w:val="0"/>
                <w:sz w:val="18"/>
                <w:szCs w:val="18"/>
              </w:rPr>
            </w:pPr>
            <w:r>
              <w:rPr>
                <w:rFonts w:ascii="Times New Roman" w:hAnsi="Times New Roman" w:eastAsia="宋体"/>
                <w:b/>
                <w:kern w:val="0"/>
                <w:sz w:val="18"/>
                <w:szCs w:val="18"/>
              </w:rPr>
              <w:t>34.08</w:t>
            </w:r>
          </w:p>
        </w:tc>
        <w:tc>
          <w:tcPr>
            <w:tcW w:w="654" w:type="dxa"/>
            <w:vAlign w:val="center"/>
          </w:tcPr>
          <w:p>
            <w:pPr>
              <w:widowControl/>
              <w:spacing w:line="240" w:lineRule="auto"/>
              <w:jc w:val="center"/>
              <w:rPr>
                <w:rFonts w:ascii="Times New Roman" w:hAnsi="Times New Roman" w:eastAsia="宋体"/>
                <w:b/>
                <w:kern w:val="0"/>
                <w:sz w:val="18"/>
                <w:szCs w:val="18"/>
              </w:rPr>
            </w:pPr>
            <w:r>
              <w:rPr>
                <w:rFonts w:ascii="Times New Roman" w:hAnsi="Times New Roman" w:eastAsia="宋体"/>
                <w:b/>
                <w:kern w:val="0"/>
                <w:sz w:val="18"/>
                <w:szCs w:val="18"/>
              </w:rPr>
              <w:t>39.98</w:t>
            </w:r>
          </w:p>
        </w:tc>
        <w:tc>
          <w:tcPr>
            <w:tcW w:w="654" w:type="dxa"/>
            <w:vAlign w:val="center"/>
          </w:tcPr>
          <w:p>
            <w:pPr>
              <w:widowControl/>
              <w:spacing w:line="240" w:lineRule="auto"/>
              <w:jc w:val="center"/>
              <w:rPr>
                <w:rFonts w:ascii="Times New Roman" w:hAnsi="Times New Roman" w:eastAsia="宋体"/>
                <w:b/>
                <w:kern w:val="0"/>
                <w:sz w:val="18"/>
                <w:szCs w:val="18"/>
              </w:rPr>
            </w:pPr>
            <w:r>
              <w:rPr>
                <w:rFonts w:ascii="Times New Roman" w:hAnsi="Times New Roman" w:eastAsia="宋体"/>
                <w:b/>
                <w:kern w:val="0"/>
                <w:sz w:val="18"/>
                <w:szCs w:val="18"/>
              </w:rPr>
              <w:t>45.78</w:t>
            </w:r>
          </w:p>
        </w:tc>
        <w:tc>
          <w:tcPr>
            <w:tcW w:w="654" w:type="dxa"/>
            <w:vAlign w:val="center"/>
          </w:tcPr>
          <w:p>
            <w:pPr>
              <w:widowControl/>
              <w:spacing w:line="240" w:lineRule="auto"/>
              <w:jc w:val="center"/>
              <w:rPr>
                <w:rFonts w:ascii="Times New Roman" w:hAnsi="Times New Roman" w:eastAsia="宋体"/>
                <w:b/>
                <w:kern w:val="0"/>
                <w:sz w:val="18"/>
                <w:szCs w:val="18"/>
              </w:rPr>
            </w:pPr>
            <w:r>
              <w:rPr>
                <w:rFonts w:ascii="Times New Roman" w:hAnsi="Times New Roman" w:eastAsia="宋体"/>
                <w:b/>
                <w:kern w:val="0"/>
                <w:sz w:val="18"/>
                <w:szCs w:val="18"/>
              </w:rPr>
              <w:t>52.30</w:t>
            </w:r>
          </w:p>
        </w:tc>
        <w:tc>
          <w:tcPr>
            <w:tcW w:w="654" w:type="dxa"/>
            <w:vAlign w:val="center"/>
          </w:tcPr>
          <w:p>
            <w:pPr>
              <w:widowControl/>
              <w:spacing w:line="240" w:lineRule="auto"/>
              <w:jc w:val="center"/>
              <w:rPr>
                <w:rFonts w:ascii="Times New Roman" w:hAnsi="Times New Roman" w:eastAsia="宋体"/>
                <w:b/>
                <w:kern w:val="0"/>
                <w:sz w:val="18"/>
                <w:szCs w:val="18"/>
              </w:rPr>
            </w:pPr>
            <w:r>
              <w:rPr>
                <w:rFonts w:ascii="Times New Roman" w:hAnsi="Times New Roman" w:eastAsia="宋体"/>
                <w:b/>
                <w:kern w:val="0"/>
                <w:sz w:val="18"/>
                <w:szCs w:val="18"/>
              </w:rPr>
              <w:t>59.87</w:t>
            </w:r>
          </w:p>
        </w:tc>
        <w:tc>
          <w:tcPr>
            <w:tcW w:w="654" w:type="dxa"/>
            <w:vAlign w:val="center"/>
          </w:tcPr>
          <w:p>
            <w:pPr>
              <w:widowControl/>
              <w:spacing w:line="240" w:lineRule="auto"/>
              <w:jc w:val="center"/>
              <w:rPr>
                <w:rFonts w:ascii="Times New Roman" w:hAnsi="Times New Roman" w:eastAsia="宋体"/>
                <w:b/>
                <w:kern w:val="0"/>
                <w:sz w:val="18"/>
                <w:szCs w:val="18"/>
              </w:rPr>
            </w:pPr>
            <w:r>
              <w:rPr>
                <w:rFonts w:ascii="Times New Roman" w:hAnsi="Times New Roman" w:eastAsia="宋体"/>
                <w:b/>
                <w:kern w:val="0"/>
                <w:sz w:val="18"/>
                <w:szCs w:val="18"/>
              </w:rPr>
              <w:t>66.31</w:t>
            </w:r>
          </w:p>
        </w:tc>
        <w:tc>
          <w:tcPr>
            <w:tcW w:w="654" w:type="dxa"/>
            <w:vAlign w:val="center"/>
          </w:tcPr>
          <w:p>
            <w:pPr>
              <w:widowControl/>
              <w:spacing w:line="240" w:lineRule="auto"/>
              <w:jc w:val="center"/>
              <w:rPr>
                <w:rFonts w:ascii="Times New Roman" w:hAnsi="Times New Roman" w:eastAsia="宋体"/>
                <w:b/>
                <w:kern w:val="0"/>
                <w:sz w:val="18"/>
                <w:szCs w:val="18"/>
              </w:rPr>
            </w:pPr>
            <w:r>
              <w:rPr>
                <w:rFonts w:ascii="Times New Roman" w:hAnsi="Times New Roman" w:eastAsia="宋体"/>
                <w:b/>
                <w:kern w:val="0"/>
                <w:sz w:val="18"/>
                <w:szCs w:val="18"/>
              </w:rPr>
              <w:t>72.62</w:t>
            </w:r>
          </w:p>
        </w:tc>
      </w:tr>
    </w:tbl>
    <w:p>
      <w:pPr>
        <w:spacing w:line="360" w:lineRule="auto"/>
        <w:rPr>
          <w:rFonts w:ascii="Times New Roman" w:hAnsi="Times New Roman"/>
          <w:sz w:val="32"/>
          <w:szCs w:val="32"/>
        </w:rPr>
      </w:pPr>
    </w:p>
    <w:p>
      <w:pPr>
        <w:widowControl/>
        <w:spacing w:line="240" w:lineRule="auto"/>
        <w:jc w:val="left"/>
        <w:rPr>
          <w:rFonts w:ascii="Times New Roman" w:hAnsi="Times New Roman"/>
          <w:sz w:val="28"/>
          <w:szCs w:val="28"/>
        </w:rPr>
      </w:pPr>
      <w:r>
        <w:rPr>
          <w:rFonts w:ascii="Times New Roman" w:hAnsi="Times New Roman"/>
          <w:sz w:val="28"/>
          <w:szCs w:val="28"/>
        </w:rPr>
        <w:br w:type="page"/>
      </w:r>
    </w:p>
    <w:p>
      <w:pPr>
        <w:spacing w:line="360" w:lineRule="auto"/>
        <w:ind w:firstLine="638" w:firstLineChars="200"/>
        <w:outlineLvl w:val="0"/>
        <w:rPr>
          <w:rFonts w:ascii="Times New Roman" w:hAnsi="Times New Roman"/>
          <w:b/>
          <w:spacing w:val="-1"/>
          <w:sz w:val="32"/>
          <w:szCs w:val="32"/>
          <w:lang w:val="zh-TW" w:eastAsia="zh-TW"/>
        </w:rPr>
      </w:pPr>
      <w:r>
        <w:rPr>
          <w:rFonts w:ascii="Times New Roman" w:hAnsi="Times New Roman"/>
          <w:b/>
          <w:spacing w:val="-1"/>
          <w:sz w:val="32"/>
          <w:szCs w:val="32"/>
          <w:lang w:val="zh-TW" w:eastAsia="zh-TW"/>
        </w:rPr>
        <w:t>案例</w:t>
      </w:r>
      <w:r>
        <w:rPr>
          <w:rFonts w:hint="eastAsia" w:ascii="Times New Roman" w:hAnsi="Times New Roman"/>
          <w:b/>
          <w:spacing w:val="-1"/>
          <w:sz w:val="32"/>
          <w:szCs w:val="32"/>
          <w:lang w:val="zh-TW"/>
        </w:rPr>
        <w:t>六</w:t>
      </w:r>
      <w:r>
        <w:rPr>
          <w:rFonts w:ascii="Times New Roman" w:hAnsi="Times New Roman"/>
          <w:b/>
          <w:spacing w:val="-1"/>
          <w:sz w:val="32"/>
          <w:szCs w:val="32"/>
          <w:lang w:val="zh-TW"/>
        </w:rPr>
        <w:t>：</w:t>
      </w:r>
      <w:r>
        <w:rPr>
          <w:rFonts w:ascii="Times New Roman" w:hAnsi="Times New Roman"/>
          <w:b/>
          <w:spacing w:val="-1"/>
          <w:sz w:val="32"/>
          <w:szCs w:val="32"/>
          <w:lang w:val="zh-TW" w:eastAsia="zh-TW"/>
        </w:rPr>
        <w:t>信托公司信托业务手续费及佣金收入的预测</w:t>
      </w:r>
    </w:p>
    <w:p>
      <w:pPr>
        <w:spacing w:line="360" w:lineRule="auto"/>
        <w:ind w:firstLine="584" w:firstLineChars="200"/>
        <w:rPr>
          <w:rFonts w:ascii="Times New Roman" w:hAnsi="Times New Roman"/>
          <w:sz w:val="28"/>
        </w:rPr>
      </w:pPr>
      <w:r>
        <w:rPr>
          <w:rFonts w:ascii="Times New Roman" w:hAnsi="Times New Roman"/>
          <w:sz w:val="28"/>
          <w:szCs w:val="28"/>
        </w:rPr>
        <w:t>信托业务手续费及佣金收入=信托资产规模</w:t>
      </w:r>
      <w:r>
        <w:rPr>
          <w:rFonts w:ascii="Times New Roman" w:hAnsi="Times New Roman"/>
          <w:sz w:val="28"/>
        </w:rPr>
        <w:t>×手续费率</w:t>
      </w:r>
    </w:p>
    <w:p>
      <w:pPr>
        <w:spacing w:line="360" w:lineRule="auto"/>
        <w:ind w:firstLine="584" w:firstLineChars="200"/>
        <w:rPr>
          <w:rFonts w:ascii="Times New Roman" w:hAnsi="Times New Roman"/>
          <w:sz w:val="28"/>
          <w:szCs w:val="28"/>
        </w:rPr>
      </w:pPr>
      <w:r>
        <w:rPr>
          <w:rFonts w:ascii="Times New Roman" w:hAnsi="Times New Roman"/>
          <w:sz w:val="28"/>
          <w:szCs w:val="28"/>
        </w:rPr>
        <w:t>xx信托公司信托资产包括集合类信托、单一类信托、财产信托三种。根据对xx公司基准日前一期的三类信托资产的规模和手续费收入分析，评估基准日集合类信托、单一类信托、财产信托手续费率分别为1.6386%、0.1358%、0.3117%，各类信托业务手续费费率差距较大。因此，</w:t>
      </w:r>
      <w:r>
        <w:rPr>
          <w:rFonts w:hint="eastAsia" w:ascii="Times New Roman" w:hAnsi="Times New Roman"/>
          <w:sz w:val="28"/>
          <w:szCs w:val="28"/>
        </w:rPr>
        <w:t>资产</w:t>
      </w:r>
      <w:r>
        <w:rPr>
          <w:rFonts w:ascii="Times New Roman" w:hAnsi="Times New Roman"/>
          <w:sz w:val="28"/>
          <w:szCs w:val="28"/>
        </w:rPr>
        <w:t>评估师对三类信托业务资产规模分别进行预测。</w:t>
      </w:r>
    </w:p>
    <w:p>
      <w:pPr>
        <w:spacing w:line="360" w:lineRule="auto"/>
        <w:ind w:firstLine="584" w:firstLineChars="200"/>
        <w:rPr>
          <w:rFonts w:ascii="Times New Roman" w:hAnsi="Times New Roman"/>
          <w:sz w:val="28"/>
          <w:szCs w:val="28"/>
        </w:rPr>
      </w:pPr>
      <w:r>
        <w:rPr>
          <w:rFonts w:ascii="Times New Roman" w:hAnsi="Times New Roman"/>
          <w:sz w:val="28"/>
          <w:szCs w:val="28"/>
        </w:rPr>
        <w:t>1、信托资产规模预测</w:t>
      </w:r>
    </w:p>
    <w:p>
      <w:pPr>
        <w:spacing w:line="360" w:lineRule="auto"/>
        <w:ind w:firstLine="584" w:firstLineChars="200"/>
        <w:rPr>
          <w:rFonts w:ascii="Times New Roman" w:hAnsi="Times New Roman"/>
          <w:sz w:val="28"/>
          <w:szCs w:val="28"/>
        </w:rPr>
      </w:pPr>
      <w:r>
        <w:rPr>
          <w:rFonts w:ascii="Times New Roman" w:hAnsi="Times New Roman"/>
          <w:sz w:val="28"/>
          <w:szCs w:val="28"/>
        </w:rPr>
        <w:t>对xx信托公司信托资产规模预测基于整个信托行业信托资产规模及xx信托公司的信托业务市场份额。</w:t>
      </w:r>
    </w:p>
    <w:p>
      <w:pPr>
        <w:spacing w:line="360" w:lineRule="auto"/>
        <w:ind w:firstLine="584" w:firstLineChars="200"/>
        <w:rPr>
          <w:rFonts w:ascii="Times New Roman" w:hAnsi="Times New Roman"/>
          <w:sz w:val="28"/>
          <w:szCs w:val="28"/>
        </w:rPr>
      </w:pPr>
      <w:r>
        <w:rPr>
          <w:rFonts w:ascii="Times New Roman" w:hAnsi="Times New Roman"/>
          <w:sz w:val="28"/>
          <w:szCs w:val="28"/>
        </w:rPr>
        <w:t>（1）信托行业信托资产规模预测</w:t>
      </w:r>
    </w:p>
    <w:p>
      <w:pPr>
        <w:spacing w:line="360" w:lineRule="auto"/>
        <w:ind w:firstLine="561" w:firstLineChars="192"/>
        <w:rPr>
          <w:rFonts w:ascii="Times New Roman" w:hAnsi="Times New Roman"/>
          <w:sz w:val="28"/>
        </w:rPr>
      </w:pPr>
      <w:r>
        <w:rPr>
          <w:rFonts w:ascii="Times New Roman" w:hAnsi="Times New Roman"/>
          <w:sz w:val="28"/>
        </w:rPr>
        <w:t>我们查阅了相关经济学研究文献，结合经济学相关原理，综合分析了对信托规模产生影响的相关因素，包括城乡居民储蓄余额、固定资产投资总额、社会融资总额、新增人民币贷款、货币供应量和利率七个变量，我们选取了从200x年-201x年的七个变量的年度数据，除信托规模数据取自《信托业发展报告20xx》外，其余数据均取自wind数据，根据数据计量分析结果，新增人民币贷款、货币供应量和利率三个变量，并没有表现出与信托规模的良好的长期均衡关系，故我们将其剔除。最后通过计量我们建立了信托规模、城乡居民储蓄余额、固定资产投资总额和社会融资总额四个时间序列的协整方程模型。方程如下：</w:t>
      </w:r>
    </w:p>
    <w:p>
      <w:pPr>
        <w:spacing w:line="360" w:lineRule="auto"/>
        <w:ind w:firstLine="561" w:firstLineChars="192"/>
        <w:rPr>
          <w:rFonts w:ascii="Times New Roman" w:hAnsi="Times New Roman"/>
          <w:sz w:val="28"/>
        </w:rPr>
      </w:pPr>
      <w:r>
        <w:rPr>
          <w:rFonts w:ascii="Times New Roman" w:hAnsi="Times New Roman"/>
          <w:sz w:val="28"/>
        </w:rPr>
        <w:t>LNTS=3.126LNFI -3.193LNRS +1.017LNSCx</w:t>
      </w:r>
    </w:p>
    <w:p>
      <w:pPr>
        <w:spacing w:line="360" w:lineRule="auto"/>
        <w:ind w:firstLine="561" w:firstLineChars="192"/>
        <w:rPr>
          <w:rFonts w:ascii="Times New Roman" w:hAnsi="Times New Roman"/>
          <w:sz w:val="28"/>
        </w:rPr>
      </w:pPr>
      <w:r>
        <w:rPr>
          <w:rFonts w:ascii="Times New Roman" w:hAnsi="Times New Roman"/>
          <w:sz w:val="28"/>
        </w:rPr>
        <w:t>其中，LNTS为信托规模，LNFI为固定资产投资总额，LNRS为城乡居民储蓄余额，LNSCx为社会融资总额，这里的社会融资总额是剔除了社会融资总额统计中的信托贷款额度的修正数据。</w:t>
      </w:r>
    </w:p>
    <w:p>
      <w:pPr>
        <w:spacing w:line="360" w:lineRule="auto"/>
        <w:ind w:firstLine="561" w:firstLineChars="192"/>
        <w:rPr>
          <w:rFonts w:ascii="Times New Roman" w:hAnsi="Times New Roman"/>
          <w:sz w:val="28"/>
        </w:rPr>
      </w:pPr>
      <w:r>
        <w:rPr>
          <w:rFonts w:ascii="Times New Roman" w:hAnsi="Times New Roman"/>
          <w:sz w:val="28"/>
        </w:rPr>
        <w:t>从方程中我们可以看到，固定资产投资总额、社会融资总额与信托规模表现出正相关关系。信托融资中很大一部分都投向了固定资产投资，从统计数据来看，信托资产投向基础产业和房地产业的总和达到了信托总规模30%以上，固定资产投资对信托规模产生较大影响，和计量分析结果一致。而剔除了信托贷款统计的社会融资总额与信托规模也表现出了正相关关系，虽然信托和其他方式的社会融资存在一定程度的替代效应，但社会融资总额的增长表现出了社会对融资总体的需求，当这种需求远大于融资方式的替代效应时，就表现出了社会融资总额与信托规模的同步增长态势，但这种影响却远没有固定资产投资的大，从计量结果来看，只有固定资产投资影响的三分之一。</w:t>
      </w:r>
    </w:p>
    <w:p>
      <w:pPr>
        <w:spacing w:line="360" w:lineRule="auto"/>
        <w:ind w:firstLine="561" w:firstLineChars="192"/>
        <w:rPr>
          <w:rFonts w:ascii="Times New Roman" w:hAnsi="Times New Roman"/>
          <w:sz w:val="28"/>
        </w:rPr>
      </w:pPr>
      <w:r>
        <w:rPr>
          <w:rFonts w:ascii="Times New Roman" w:hAnsi="Times New Roman"/>
          <w:sz w:val="28"/>
        </w:rPr>
        <w:t>从计量结果来看，城乡居民储蓄余额与信托规模表现出了负相关关系，因为对信托产品的购买直接促使了存款的下降。</w:t>
      </w:r>
    </w:p>
    <w:p>
      <w:pPr>
        <w:spacing w:line="360" w:lineRule="auto"/>
        <w:ind w:firstLine="561" w:firstLineChars="192"/>
        <w:rPr>
          <w:rFonts w:ascii="Times New Roman" w:hAnsi="Times New Roman"/>
          <w:sz w:val="28"/>
        </w:rPr>
      </w:pPr>
      <w:r>
        <w:rPr>
          <w:rFonts w:ascii="Times New Roman" w:hAnsi="Times New Roman"/>
          <w:sz w:val="28"/>
        </w:rPr>
        <w:t>从中国宏观形势来看，过去那种过度依靠投资拉动、信贷拉动的粗放式经济增长模式会逐步转变，过去货币供应量的大幅增长也将会放缓，李克强总理也强调了“控制增量、用好存量”的指导方针。过去城乡居民储蓄余额表现出了平稳增长，过去10年的平均增速在16.28%，即使未来货币供应量增速放缓的情况下，考虑到国家对提高居民收入的政策导向，城乡居民储蓄余额预计也将保持这一增速。固定资产投资总额过去10年一直保持快速增长，平均增速达到27%，但在地方政府债务高企、增长模式急需转变的情况下，这一增速很难维持，预计未来增速将会维持在20%左右的水平上。信托业近年来发展较为迅速，目前整体规模已经超越保险业，成为金融行业中即银行业之后规模最大的行业，但在整体规模达到一定量级后其增速也会逐步放缓。纵观信托业的发展历程来看，信托行业的发展也并非一帆风顺，中国信托业共经历了5次大的政策调整，从历史数据来看，大的调整周期一般在两年左右，在调整期内信托资产整体规模会有10%-20%的下降。考虑到国家对影子银行管控的加强，以及对地方政府融资平台的控制，预计信托业在经历了过去10年的高速发展后，将很快迎来一次大的调整。</w:t>
      </w:r>
    </w:p>
    <w:p>
      <w:pPr>
        <w:spacing w:line="360" w:lineRule="auto"/>
        <w:ind w:firstLine="561" w:firstLineChars="192"/>
        <w:rPr>
          <w:rFonts w:ascii="Times New Roman" w:hAnsi="Times New Roman"/>
          <w:sz w:val="28"/>
        </w:rPr>
      </w:pPr>
      <w:r>
        <w:rPr>
          <w:rFonts w:ascii="Times New Roman" w:hAnsi="Times New Roman"/>
          <w:sz w:val="28"/>
        </w:rPr>
        <w:t>结合经济发展规律，根据计量模型分析，我们预计未来信托业信托规模未来5年增速如下表所示。</w:t>
      </w:r>
    </w:p>
    <w:p>
      <w:pPr>
        <w:spacing w:line="360" w:lineRule="auto"/>
        <w:jc w:val="center"/>
        <w:rPr>
          <w:rFonts w:ascii="Times New Roman" w:hAnsi="Times New Roman" w:eastAsia="黑体"/>
          <w:sz w:val="24"/>
        </w:rPr>
      </w:pPr>
      <w:r>
        <w:rPr>
          <w:rFonts w:ascii="Times New Roman" w:hAnsi="Times New Roman" w:eastAsia="黑体"/>
          <w:sz w:val="24"/>
        </w:rPr>
        <w:t>未来信托业信托规模增速</w:t>
      </w:r>
    </w:p>
    <w:tbl>
      <w:tblPr>
        <w:tblStyle w:val="27"/>
        <w:tblW w:w="91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7"/>
        <w:gridCol w:w="1391"/>
        <w:gridCol w:w="1504"/>
        <w:gridCol w:w="1391"/>
        <w:gridCol w:w="1391"/>
        <w:gridCol w:w="1224"/>
        <w:gridCol w:w="1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7" w:type="dxa"/>
            <w:vAlign w:val="center"/>
          </w:tcPr>
          <w:p>
            <w:pPr>
              <w:spacing w:line="240" w:lineRule="auto"/>
              <w:jc w:val="center"/>
              <w:rPr>
                <w:rFonts w:ascii="Times New Roman" w:hAnsi="Times New Roman" w:eastAsia="宋体"/>
                <w:b/>
                <w:sz w:val="18"/>
                <w:szCs w:val="18"/>
              </w:rPr>
            </w:pPr>
            <w:r>
              <w:rPr>
                <w:rFonts w:ascii="Times New Roman" w:hAnsi="宋体" w:eastAsia="宋体"/>
                <w:b/>
                <w:sz w:val="18"/>
                <w:szCs w:val="18"/>
              </w:rPr>
              <w:t>年份</w:t>
            </w:r>
          </w:p>
        </w:tc>
        <w:tc>
          <w:tcPr>
            <w:tcW w:w="1391" w:type="dxa"/>
            <w:vAlign w:val="center"/>
          </w:tcPr>
          <w:p>
            <w:pPr>
              <w:spacing w:line="240" w:lineRule="auto"/>
              <w:jc w:val="center"/>
              <w:rPr>
                <w:rFonts w:ascii="Times New Roman" w:hAnsi="Times New Roman" w:eastAsia="宋体"/>
                <w:b/>
                <w:sz w:val="18"/>
                <w:szCs w:val="18"/>
              </w:rPr>
            </w:pPr>
            <w:r>
              <w:rPr>
                <w:rFonts w:ascii="Times New Roman" w:hAnsi="Times New Roman" w:eastAsia="宋体"/>
                <w:b/>
                <w:sz w:val="18"/>
                <w:szCs w:val="18"/>
              </w:rPr>
              <w:t>20x3</w:t>
            </w:r>
          </w:p>
        </w:tc>
        <w:tc>
          <w:tcPr>
            <w:tcW w:w="1504" w:type="dxa"/>
            <w:vAlign w:val="center"/>
          </w:tcPr>
          <w:p>
            <w:pPr>
              <w:spacing w:line="240" w:lineRule="auto"/>
              <w:jc w:val="center"/>
              <w:rPr>
                <w:rFonts w:ascii="Times New Roman" w:hAnsi="Times New Roman" w:eastAsia="宋体"/>
                <w:b/>
                <w:sz w:val="18"/>
                <w:szCs w:val="18"/>
              </w:rPr>
            </w:pPr>
            <w:r>
              <w:rPr>
                <w:rFonts w:ascii="Times New Roman" w:hAnsi="Times New Roman" w:eastAsia="宋体"/>
                <w:b/>
                <w:sz w:val="18"/>
                <w:szCs w:val="18"/>
              </w:rPr>
              <w:t>20x4</w:t>
            </w:r>
          </w:p>
        </w:tc>
        <w:tc>
          <w:tcPr>
            <w:tcW w:w="1391" w:type="dxa"/>
            <w:vAlign w:val="center"/>
          </w:tcPr>
          <w:p>
            <w:pPr>
              <w:spacing w:line="240" w:lineRule="auto"/>
              <w:jc w:val="center"/>
              <w:rPr>
                <w:rFonts w:ascii="Times New Roman" w:hAnsi="Times New Roman" w:eastAsia="宋体"/>
                <w:b/>
                <w:sz w:val="18"/>
                <w:szCs w:val="18"/>
              </w:rPr>
            </w:pPr>
            <w:r>
              <w:rPr>
                <w:rFonts w:ascii="Times New Roman" w:hAnsi="Times New Roman" w:eastAsia="宋体"/>
                <w:b/>
                <w:sz w:val="18"/>
                <w:szCs w:val="18"/>
              </w:rPr>
              <w:t>20x5</w:t>
            </w:r>
          </w:p>
        </w:tc>
        <w:tc>
          <w:tcPr>
            <w:tcW w:w="1391" w:type="dxa"/>
            <w:vAlign w:val="center"/>
          </w:tcPr>
          <w:p>
            <w:pPr>
              <w:spacing w:line="240" w:lineRule="auto"/>
              <w:jc w:val="center"/>
              <w:rPr>
                <w:rFonts w:ascii="Times New Roman" w:hAnsi="Times New Roman" w:eastAsia="宋体"/>
                <w:b/>
                <w:sz w:val="18"/>
                <w:szCs w:val="18"/>
              </w:rPr>
            </w:pPr>
            <w:r>
              <w:rPr>
                <w:rFonts w:ascii="Times New Roman" w:hAnsi="Times New Roman" w:eastAsia="宋体"/>
                <w:b/>
                <w:sz w:val="18"/>
                <w:szCs w:val="18"/>
              </w:rPr>
              <w:t>20x6</w:t>
            </w:r>
          </w:p>
        </w:tc>
        <w:tc>
          <w:tcPr>
            <w:tcW w:w="1224" w:type="dxa"/>
            <w:vAlign w:val="center"/>
          </w:tcPr>
          <w:p>
            <w:pPr>
              <w:spacing w:line="240" w:lineRule="auto"/>
              <w:jc w:val="center"/>
              <w:rPr>
                <w:rFonts w:ascii="Times New Roman" w:hAnsi="Times New Roman" w:eastAsia="宋体"/>
                <w:b/>
                <w:sz w:val="18"/>
                <w:szCs w:val="18"/>
              </w:rPr>
            </w:pPr>
            <w:r>
              <w:rPr>
                <w:rFonts w:ascii="Times New Roman" w:hAnsi="Times New Roman" w:eastAsia="宋体"/>
                <w:b/>
                <w:sz w:val="18"/>
                <w:szCs w:val="18"/>
              </w:rPr>
              <w:t>20x7</w:t>
            </w:r>
          </w:p>
        </w:tc>
        <w:tc>
          <w:tcPr>
            <w:tcW w:w="1224" w:type="dxa"/>
            <w:vAlign w:val="center"/>
          </w:tcPr>
          <w:p>
            <w:pPr>
              <w:spacing w:line="240" w:lineRule="auto"/>
              <w:jc w:val="center"/>
              <w:rPr>
                <w:rFonts w:ascii="Times New Roman" w:hAnsi="Times New Roman" w:eastAsia="宋体"/>
                <w:b/>
                <w:sz w:val="18"/>
                <w:szCs w:val="18"/>
              </w:rPr>
            </w:pPr>
            <w:r>
              <w:rPr>
                <w:rFonts w:ascii="Times New Roman" w:hAnsi="Times New Roman" w:eastAsia="宋体"/>
                <w:b/>
                <w:sz w:val="18"/>
                <w:szCs w:val="18"/>
              </w:rPr>
              <w:t>20x8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7" w:type="dxa"/>
            <w:vAlign w:val="center"/>
          </w:tcPr>
          <w:p>
            <w:pPr>
              <w:spacing w:line="240" w:lineRule="auto"/>
              <w:jc w:val="center"/>
              <w:rPr>
                <w:rFonts w:ascii="Times New Roman" w:hAnsi="Times New Roman" w:eastAsia="宋体"/>
                <w:b/>
                <w:sz w:val="18"/>
                <w:szCs w:val="18"/>
              </w:rPr>
            </w:pPr>
            <w:r>
              <w:rPr>
                <w:rFonts w:ascii="Times New Roman" w:hAnsi="宋体" w:eastAsia="宋体"/>
                <w:b/>
                <w:sz w:val="18"/>
                <w:szCs w:val="18"/>
              </w:rPr>
              <w:t>增速</w:t>
            </w:r>
          </w:p>
        </w:tc>
        <w:tc>
          <w:tcPr>
            <w:tcW w:w="1391" w:type="dxa"/>
            <w:vAlign w:val="center"/>
          </w:tcPr>
          <w:p>
            <w:pPr>
              <w:spacing w:line="240" w:lineRule="auto"/>
              <w:jc w:val="center"/>
              <w:rPr>
                <w:rFonts w:ascii="Times New Roman" w:hAnsi="Times New Roman" w:eastAsia="宋体"/>
                <w:sz w:val="18"/>
                <w:szCs w:val="18"/>
              </w:rPr>
            </w:pPr>
            <w:r>
              <w:rPr>
                <w:rFonts w:ascii="Times New Roman" w:hAnsi="Times New Roman" w:eastAsia="宋体"/>
                <w:sz w:val="18"/>
                <w:szCs w:val="18"/>
              </w:rPr>
              <w:t>27.41%</w:t>
            </w:r>
          </w:p>
        </w:tc>
        <w:tc>
          <w:tcPr>
            <w:tcW w:w="1504" w:type="dxa"/>
            <w:vAlign w:val="center"/>
          </w:tcPr>
          <w:p>
            <w:pPr>
              <w:spacing w:line="240" w:lineRule="auto"/>
              <w:jc w:val="center"/>
              <w:rPr>
                <w:rFonts w:ascii="Times New Roman" w:hAnsi="Times New Roman" w:eastAsia="宋体"/>
                <w:sz w:val="18"/>
                <w:szCs w:val="18"/>
              </w:rPr>
            </w:pPr>
            <w:r>
              <w:rPr>
                <w:rFonts w:ascii="Times New Roman" w:hAnsi="Times New Roman" w:eastAsia="宋体"/>
                <w:sz w:val="18"/>
                <w:szCs w:val="18"/>
              </w:rPr>
              <w:t>-13.95%</w:t>
            </w:r>
          </w:p>
        </w:tc>
        <w:tc>
          <w:tcPr>
            <w:tcW w:w="1391" w:type="dxa"/>
            <w:vAlign w:val="center"/>
          </w:tcPr>
          <w:p>
            <w:pPr>
              <w:spacing w:line="240" w:lineRule="auto"/>
              <w:jc w:val="center"/>
              <w:rPr>
                <w:rFonts w:ascii="Times New Roman" w:hAnsi="Times New Roman" w:eastAsia="宋体"/>
                <w:sz w:val="18"/>
                <w:szCs w:val="18"/>
              </w:rPr>
            </w:pPr>
            <w:r>
              <w:rPr>
                <w:rFonts w:ascii="Times New Roman" w:hAnsi="Times New Roman" w:eastAsia="宋体"/>
                <w:sz w:val="18"/>
                <w:szCs w:val="18"/>
              </w:rPr>
              <w:t>21.47%</w:t>
            </w:r>
          </w:p>
        </w:tc>
        <w:tc>
          <w:tcPr>
            <w:tcW w:w="1391" w:type="dxa"/>
            <w:vAlign w:val="center"/>
          </w:tcPr>
          <w:p>
            <w:pPr>
              <w:spacing w:line="240" w:lineRule="auto"/>
              <w:jc w:val="center"/>
              <w:rPr>
                <w:rFonts w:ascii="Times New Roman" w:hAnsi="Times New Roman" w:eastAsia="宋体"/>
                <w:sz w:val="18"/>
                <w:szCs w:val="18"/>
              </w:rPr>
            </w:pPr>
            <w:r>
              <w:rPr>
                <w:rFonts w:ascii="Times New Roman" w:hAnsi="Times New Roman" w:eastAsia="宋体"/>
                <w:sz w:val="18"/>
                <w:szCs w:val="18"/>
              </w:rPr>
              <w:t>14.16%</w:t>
            </w:r>
          </w:p>
        </w:tc>
        <w:tc>
          <w:tcPr>
            <w:tcW w:w="1224" w:type="dxa"/>
            <w:vAlign w:val="center"/>
          </w:tcPr>
          <w:p>
            <w:pPr>
              <w:spacing w:line="240" w:lineRule="auto"/>
              <w:jc w:val="center"/>
              <w:rPr>
                <w:rFonts w:ascii="Times New Roman" w:hAnsi="Times New Roman" w:eastAsia="宋体"/>
                <w:sz w:val="18"/>
                <w:szCs w:val="18"/>
              </w:rPr>
            </w:pPr>
            <w:r>
              <w:rPr>
                <w:rFonts w:ascii="Times New Roman" w:hAnsi="Times New Roman" w:eastAsia="宋体"/>
                <w:sz w:val="18"/>
                <w:szCs w:val="18"/>
              </w:rPr>
              <w:t>3.97%</w:t>
            </w:r>
          </w:p>
        </w:tc>
        <w:tc>
          <w:tcPr>
            <w:tcW w:w="1224" w:type="dxa"/>
            <w:vAlign w:val="center"/>
          </w:tcPr>
          <w:p>
            <w:pPr>
              <w:spacing w:line="240" w:lineRule="auto"/>
              <w:jc w:val="center"/>
              <w:rPr>
                <w:rFonts w:ascii="Times New Roman" w:hAnsi="Times New Roman" w:eastAsia="宋体"/>
                <w:sz w:val="18"/>
                <w:szCs w:val="18"/>
              </w:rPr>
            </w:pPr>
            <w:r>
              <w:rPr>
                <w:rFonts w:ascii="Times New Roman" w:hAnsi="Times New Roman" w:eastAsia="宋体"/>
                <w:sz w:val="18"/>
                <w:szCs w:val="18"/>
              </w:rPr>
              <w:t>1.98%</w:t>
            </w:r>
          </w:p>
        </w:tc>
      </w:tr>
    </w:tbl>
    <w:p>
      <w:pPr>
        <w:spacing w:line="360" w:lineRule="auto"/>
        <w:ind w:firstLine="584" w:firstLineChars="200"/>
        <w:rPr>
          <w:rFonts w:ascii="Times New Roman" w:hAnsi="Times New Roman"/>
          <w:sz w:val="28"/>
          <w:szCs w:val="28"/>
        </w:rPr>
      </w:pPr>
    </w:p>
    <w:p>
      <w:pPr>
        <w:spacing w:line="360" w:lineRule="auto"/>
        <w:ind w:firstLine="584" w:firstLineChars="200"/>
        <w:rPr>
          <w:rFonts w:ascii="Times New Roman" w:hAnsi="Times New Roman"/>
          <w:sz w:val="28"/>
          <w:szCs w:val="28"/>
        </w:rPr>
      </w:pPr>
      <w:r>
        <w:rPr>
          <w:rFonts w:ascii="Times New Roman" w:hAnsi="Times New Roman"/>
          <w:sz w:val="28"/>
          <w:szCs w:val="28"/>
        </w:rPr>
        <w:t>（2）xx信托公司信托资产规模预测</w:t>
      </w:r>
    </w:p>
    <w:p>
      <w:pPr>
        <w:spacing w:line="360" w:lineRule="auto"/>
        <w:ind w:firstLine="584" w:firstLineChars="200"/>
        <w:rPr>
          <w:rFonts w:ascii="Times New Roman" w:hAnsi="Times New Roman"/>
          <w:sz w:val="28"/>
        </w:rPr>
      </w:pPr>
      <w:r>
        <w:rPr>
          <w:rFonts w:ascii="Times New Roman" w:hAnsi="Times New Roman"/>
          <w:sz w:val="28"/>
        </w:rPr>
        <w:t>我们对xx信托公司业务规划访谈了解到，xx信托公司信托资产在预测期将保持目前类型结构比例不变，且市场份额规划目标为保持评估基准日的水平。对xx信托未来年度信托规模预测数据如下表所示。</w:t>
      </w:r>
    </w:p>
    <w:tbl>
      <w:tblPr>
        <w:tblStyle w:val="27"/>
        <w:tblW w:w="91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7"/>
        <w:gridCol w:w="1653"/>
        <w:gridCol w:w="1653"/>
        <w:gridCol w:w="1653"/>
        <w:gridCol w:w="1653"/>
        <w:gridCol w:w="16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blHeader/>
        </w:trPr>
        <w:tc>
          <w:tcPr>
            <w:tcW w:w="89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Times New Roman" w:hAnsi="Times New Roman" w:eastAsia="宋体"/>
                <w:b/>
                <w:kern w:val="0"/>
                <w:sz w:val="18"/>
                <w:szCs w:val="18"/>
              </w:rPr>
            </w:pPr>
            <w:r>
              <w:rPr>
                <w:rFonts w:ascii="Times New Roman" w:hAnsi="宋体" w:eastAsia="宋体"/>
                <w:b/>
                <w:kern w:val="0"/>
                <w:sz w:val="18"/>
                <w:szCs w:val="18"/>
              </w:rPr>
              <w:t>年份</w:t>
            </w:r>
          </w:p>
        </w:tc>
        <w:tc>
          <w:tcPr>
            <w:tcW w:w="1653"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Times New Roman" w:hAnsi="Times New Roman" w:eastAsia="宋体"/>
                <w:b/>
                <w:kern w:val="0"/>
                <w:sz w:val="18"/>
                <w:szCs w:val="18"/>
              </w:rPr>
            </w:pPr>
            <w:r>
              <w:rPr>
                <w:rFonts w:ascii="Times New Roman" w:hAnsi="Times New Roman" w:eastAsia="宋体"/>
                <w:b/>
                <w:kern w:val="0"/>
                <w:sz w:val="18"/>
                <w:szCs w:val="18"/>
              </w:rPr>
              <w:t>20x4</w:t>
            </w:r>
            <w:r>
              <w:rPr>
                <w:rFonts w:ascii="Times New Roman" w:hAnsi="宋体" w:eastAsia="宋体"/>
                <w:b/>
                <w:kern w:val="0"/>
                <w:sz w:val="18"/>
                <w:szCs w:val="18"/>
              </w:rPr>
              <w:t>年</w:t>
            </w:r>
          </w:p>
        </w:tc>
        <w:tc>
          <w:tcPr>
            <w:tcW w:w="1653"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Times New Roman" w:hAnsi="Times New Roman" w:eastAsia="宋体"/>
                <w:b/>
                <w:kern w:val="0"/>
                <w:sz w:val="18"/>
                <w:szCs w:val="18"/>
              </w:rPr>
            </w:pPr>
            <w:r>
              <w:rPr>
                <w:rFonts w:ascii="Times New Roman" w:hAnsi="Times New Roman" w:eastAsia="宋体"/>
                <w:b/>
                <w:kern w:val="0"/>
                <w:sz w:val="18"/>
                <w:szCs w:val="18"/>
              </w:rPr>
              <w:t>20x5</w:t>
            </w:r>
            <w:r>
              <w:rPr>
                <w:rFonts w:ascii="Times New Roman" w:hAnsi="宋体" w:eastAsia="宋体"/>
                <w:b/>
                <w:kern w:val="0"/>
                <w:sz w:val="18"/>
                <w:szCs w:val="18"/>
              </w:rPr>
              <w:t>年</w:t>
            </w:r>
          </w:p>
        </w:tc>
        <w:tc>
          <w:tcPr>
            <w:tcW w:w="1653"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Times New Roman" w:hAnsi="Times New Roman" w:eastAsia="宋体"/>
                <w:b/>
                <w:kern w:val="0"/>
                <w:sz w:val="18"/>
                <w:szCs w:val="18"/>
              </w:rPr>
            </w:pPr>
            <w:r>
              <w:rPr>
                <w:rFonts w:ascii="Times New Roman" w:hAnsi="Times New Roman" w:eastAsia="宋体"/>
                <w:b/>
                <w:kern w:val="0"/>
                <w:sz w:val="18"/>
                <w:szCs w:val="18"/>
              </w:rPr>
              <w:t>20x6</w:t>
            </w:r>
            <w:r>
              <w:rPr>
                <w:rFonts w:ascii="Times New Roman" w:hAnsi="宋体" w:eastAsia="宋体"/>
                <w:b/>
                <w:kern w:val="0"/>
                <w:sz w:val="18"/>
                <w:szCs w:val="18"/>
              </w:rPr>
              <w:t>年</w:t>
            </w:r>
          </w:p>
        </w:tc>
        <w:tc>
          <w:tcPr>
            <w:tcW w:w="1653"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Times New Roman" w:hAnsi="Times New Roman" w:eastAsia="宋体"/>
                <w:b/>
                <w:kern w:val="0"/>
                <w:sz w:val="18"/>
                <w:szCs w:val="18"/>
              </w:rPr>
            </w:pPr>
            <w:r>
              <w:rPr>
                <w:rFonts w:ascii="Times New Roman" w:hAnsi="Times New Roman" w:eastAsia="宋体"/>
                <w:b/>
                <w:kern w:val="0"/>
                <w:sz w:val="18"/>
                <w:szCs w:val="18"/>
              </w:rPr>
              <w:t>20x7</w:t>
            </w:r>
            <w:r>
              <w:rPr>
                <w:rFonts w:ascii="Times New Roman" w:hAnsi="宋体" w:eastAsia="宋体"/>
                <w:b/>
                <w:kern w:val="0"/>
                <w:sz w:val="18"/>
                <w:szCs w:val="18"/>
              </w:rPr>
              <w:t>年</w:t>
            </w:r>
          </w:p>
        </w:tc>
        <w:tc>
          <w:tcPr>
            <w:tcW w:w="1653"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Times New Roman" w:hAnsi="Times New Roman" w:eastAsia="宋体"/>
                <w:b/>
                <w:kern w:val="0"/>
                <w:sz w:val="18"/>
                <w:szCs w:val="18"/>
              </w:rPr>
            </w:pPr>
            <w:r>
              <w:rPr>
                <w:rFonts w:ascii="Times New Roman" w:hAnsi="Times New Roman" w:eastAsia="宋体"/>
                <w:b/>
                <w:kern w:val="0"/>
                <w:sz w:val="18"/>
                <w:szCs w:val="18"/>
              </w:rPr>
              <w:t>20x8</w:t>
            </w:r>
            <w:r>
              <w:rPr>
                <w:rFonts w:ascii="Times New Roman" w:hAnsi="宋体" w:eastAsia="宋体"/>
                <w:b/>
                <w:kern w:val="0"/>
                <w:sz w:val="18"/>
                <w:szCs w:val="18"/>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9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Times New Roman" w:hAnsi="Times New Roman" w:eastAsia="宋体"/>
                <w:b/>
                <w:kern w:val="0"/>
                <w:sz w:val="18"/>
                <w:szCs w:val="18"/>
              </w:rPr>
            </w:pPr>
            <w:r>
              <w:rPr>
                <w:rFonts w:ascii="Times New Roman" w:hAnsi="宋体" w:eastAsia="宋体"/>
                <w:b/>
                <w:kern w:val="0"/>
                <w:sz w:val="18"/>
                <w:szCs w:val="18"/>
              </w:rPr>
              <w:t>集合类</w:t>
            </w:r>
          </w:p>
        </w:tc>
        <w:tc>
          <w:tcPr>
            <w:tcW w:w="1653" w:type="dxa"/>
            <w:tcBorders>
              <w:top w:val="single" w:color="auto" w:sz="4" w:space="0"/>
              <w:left w:val="nil"/>
              <w:bottom w:val="single" w:color="auto" w:sz="4" w:space="0"/>
              <w:right w:val="single" w:color="auto" w:sz="4" w:space="0"/>
            </w:tcBorders>
            <w:vAlign w:val="center"/>
          </w:tcPr>
          <w:p>
            <w:pPr>
              <w:spacing w:line="240" w:lineRule="auto"/>
              <w:jc w:val="right"/>
              <w:rPr>
                <w:rFonts w:ascii="Times New Roman" w:hAnsi="Times New Roman" w:eastAsia="宋体"/>
                <w:sz w:val="18"/>
                <w:szCs w:val="18"/>
              </w:rPr>
            </w:pPr>
            <w:r>
              <w:rPr>
                <w:rFonts w:ascii="Times New Roman" w:hAnsi="Times New Roman" w:eastAsia="宋体"/>
                <w:sz w:val="18"/>
                <w:szCs w:val="18"/>
              </w:rPr>
              <w:t>942,506.75</w:t>
            </w:r>
          </w:p>
        </w:tc>
        <w:tc>
          <w:tcPr>
            <w:tcW w:w="1653" w:type="dxa"/>
            <w:tcBorders>
              <w:top w:val="single" w:color="auto" w:sz="4" w:space="0"/>
              <w:left w:val="nil"/>
              <w:bottom w:val="single" w:color="auto" w:sz="4" w:space="0"/>
              <w:right w:val="single" w:color="auto" w:sz="4" w:space="0"/>
            </w:tcBorders>
            <w:vAlign w:val="center"/>
          </w:tcPr>
          <w:p>
            <w:pPr>
              <w:spacing w:line="240" w:lineRule="auto"/>
              <w:jc w:val="right"/>
              <w:rPr>
                <w:rFonts w:ascii="Times New Roman" w:hAnsi="Times New Roman" w:eastAsia="宋体"/>
                <w:sz w:val="18"/>
                <w:szCs w:val="18"/>
              </w:rPr>
            </w:pPr>
            <w:r>
              <w:rPr>
                <w:rFonts w:ascii="Times New Roman" w:hAnsi="Times New Roman" w:eastAsia="宋体"/>
                <w:sz w:val="18"/>
                <w:szCs w:val="18"/>
              </w:rPr>
              <w:t>1,144,862.95</w:t>
            </w:r>
          </w:p>
        </w:tc>
        <w:tc>
          <w:tcPr>
            <w:tcW w:w="1653" w:type="dxa"/>
            <w:tcBorders>
              <w:top w:val="single" w:color="auto" w:sz="4" w:space="0"/>
              <w:left w:val="nil"/>
              <w:bottom w:val="single" w:color="auto" w:sz="4" w:space="0"/>
              <w:right w:val="single" w:color="auto" w:sz="4" w:space="0"/>
            </w:tcBorders>
            <w:vAlign w:val="center"/>
          </w:tcPr>
          <w:p>
            <w:pPr>
              <w:spacing w:line="240" w:lineRule="auto"/>
              <w:jc w:val="right"/>
              <w:rPr>
                <w:rFonts w:ascii="Times New Roman" w:hAnsi="Times New Roman" w:eastAsia="宋体"/>
                <w:sz w:val="18"/>
                <w:szCs w:val="18"/>
              </w:rPr>
            </w:pPr>
            <w:r>
              <w:rPr>
                <w:rFonts w:ascii="Times New Roman" w:hAnsi="Times New Roman" w:eastAsia="宋体"/>
                <w:sz w:val="18"/>
                <w:szCs w:val="18"/>
              </w:rPr>
              <w:t>1,306,975.54</w:t>
            </w:r>
          </w:p>
        </w:tc>
        <w:tc>
          <w:tcPr>
            <w:tcW w:w="1653" w:type="dxa"/>
            <w:tcBorders>
              <w:top w:val="single" w:color="auto" w:sz="4" w:space="0"/>
              <w:left w:val="nil"/>
              <w:bottom w:val="single" w:color="auto" w:sz="4" w:space="0"/>
              <w:right w:val="single" w:color="auto" w:sz="4" w:space="0"/>
            </w:tcBorders>
            <w:vAlign w:val="center"/>
          </w:tcPr>
          <w:p>
            <w:pPr>
              <w:spacing w:line="240" w:lineRule="auto"/>
              <w:jc w:val="right"/>
              <w:rPr>
                <w:rFonts w:ascii="Times New Roman" w:hAnsi="Times New Roman" w:eastAsia="宋体"/>
                <w:sz w:val="18"/>
                <w:szCs w:val="18"/>
              </w:rPr>
            </w:pPr>
            <w:r>
              <w:rPr>
                <w:rFonts w:ascii="Times New Roman" w:hAnsi="Times New Roman" w:eastAsia="宋体"/>
                <w:sz w:val="18"/>
                <w:szCs w:val="18"/>
              </w:rPr>
              <w:t>1,358,862.46</w:t>
            </w:r>
          </w:p>
        </w:tc>
        <w:tc>
          <w:tcPr>
            <w:tcW w:w="1653" w:type="dxa"/>
            <w:tcBorders>
              <w:top w:val="single" w:color="auto" w:sz="4" w:space="0"/>
              <w:left w:val="nil"/>
              <w:bottom w:val="single" w:color="auto" w:sz="4" w:space="0"/>
              <w:right w:val="single" w:color="auto" w:sz="4" w:space="0"/>
            </w:tcBorders>
            <w:vAlign w:val="center"/>
          </w:tcPr>
          <w:p>
            <w:pPr>
              <w:spacing w:line="240" w:lineRule="auto"/>
              <w:jc w:val="right"/>
              <w:rPr>
                <w:rFonts w:ascii="Times New Roman" w:hAnsi="Times New Roman" w:eastAsia="宋体"/>
                <w:sz w:val="18"/>
                <w:szCs w:val="18"/>
              </w:rPr>
            </w:pPr>
            <w:r>
              <w:rPr>
                <w:rFonts w:ascii="Times New Roman" w:hAnsi="Times New Roman" w:eastAsia="宋体"/>
                <w:sz w:val="18"/>
                <w:szCs w:val="18"/>
              </w:rPr>
              <w:t>1,385,767.93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97" w:type="dxa"/>
            <w:tcBorders>
              <w:top w:val="nil"/>
              <w:left w:val="single" w:color="auto" w:sz="4" w:space="0"/>
              <w:bottom w:val="single" w:color="auto" w:sz="4" w:space="0"/>
              <w:right w:val="single" w:color="auto" w:sz="4" w:space="0"/>
            </w:tcBorders>
            <w:vAlign w:val="center"/>
          </w:tcPr>
          <w:p>
            <w:pPr>
              <w:widowControl/>
              <w:spacing w:line="240" w:lineRule="auto"/>
              <w:jc w:val="center"/>
              <w:rPr>
                <w:rFonts w:ascii="Times New Roman" w:hAnsi="Times New Roman" w:eastAsia="宋体"/>
                <w:b/>
                <w:kern w:val="0"/>
                <w:sz w:val="18"/>
                <w:szCs w:val="18"/>
              </w:rPr>
            </w:pPr>
            <w:r>
              <w:rPr>
                <w:rFonts w:ascii="Times New Roman" w:hAnsi="宋体" w:eastAsia="宋体"/>
                <w:b/>
                <w:kern w:val="0"/>
                <w:sz w:val="18"/>
                <w:szCs w:val="18"/>
              </w:rPr>
              <w:t>单一类</w:t>
            </w:r>
          </w:p>
        </w:tc>
        <w:tc>
          <w:tcPr>
            <w:tcW w:w="1653" w:type="dxa"/>
            <w:tcBorders>
              <w:top w:val="nil"/>
              <w:left w:val="nil"/>
              <w:bottom w:val="single" w:color="auto" w:sz="4" w:space="0"/>
              <w:right w:val="single" w:color="auto" w:sz="4" w:space="0"/>
            </w:tcBorders>
            <w:vAlign w:val="center"/>
          </w:tcPr>
          <w:p>
            <w:pPr>
              <w:spacing w:line="240" w:lineRule="auto"/>
              <w:jc w:val="right"/>
              <w:rPr>
                <w:rFonts w:ascii="Times New Roman" w:hAnsi="Times New Roman" w:eastAsia="宋体"/>
                <w:sz w:val="18"/>
                <w:szCs w:val="18"/>
              </w:rPr>
            </w:pPr>
            <w:r>
              <w:rPr>
                <w:rFonts w:ascii="Times New Roman" w:hAnsi="Times New Roman" w:eastAsia="宋体"/>
                <w:sz w:val="18"/>
                <w:szCs w:val="18"/>
              </w:rPr>
              <w:t>15,551,878.34</w:t>
            </w:r>
          </w:p>
        </w:tc>
        <w:tc>
          <w:tcPr>
            <w:tcW w:w="1653" w:type="dxa"/>
            <w:tcBorders>
              <w:top w:val="nil"/>
              <w:left w:val="nil"/>
              <w:bottom w:val="single" w:color="auto" w:sz="4" w:space="0"/>
              <w:right w:val="single" w:color="auto" w:sz="4" w:space="0"/>
            </w:tcBorders>
            <w:vAlign w:val="center"/>
          </w:tcPr>
          <w:p>
            <w:pPr>
              <w:spacing w:line="240" w:lineRule="auto"/>
              <w:jc w:val="right"/>
              <w:rPr>
                <w:rFonts w:ascii="Times New Roman" w:hAnsi="Times New Roman" w:eastAsia="宋体"/>
                <w:sz w:val="18"/>
                <w:szCs w:val="18"/>
              </w:rPr>
            </w:pPr>
            <w:r>
              <w:rPr>
                <w:rFonts w:ascii="Times New Roman" w:hAnsi="Times New Roman" w:eastAsia="宋体"/>
                <w:sz w:val="18"/>
                <w:szCs w:val="18"/>
              </w:rPr>
              <w:t>18,890,866.62</w:t>
            </w:r>
          </w:p>
        </w:tc>
        <w:tc>
          <w:tcPr>
            <w:tcW w:w="1653" w:type="dxa"/>
            <w:tcBorders>
              <w:top w:val="nil"/>
              <w:left w:val="nil"/>
              <w:bottom w:val="single" w:color="auto" w:sz="4" w:space="0"/>
              <w:right w:val="single" w:color="auto" w:sz="4" w:space="0"/>
            </w:tcBorders>
            <w:vAlign w:val="center"/>
          </w:tcPr>
          <w:p>
            <w:pPr>
              <w:spacing w:line="240" w:lineRule="auto"/>
              <w:jc w:val="right"/>
              <w:rPr>
                <w:rFonts w:ascii="Times New Roman" w:hAnsi="Times New Roman" w:eastAsia="宋体"/>
                <w:sz w:val="18"/>
                <w:szCs w:val="18"/>
              </w:rPr>
            </w:pPr>
            <w:r>
              <w:rPr>
                <w:rFonts w:ascii="Times New Roman" w:hAnsi="Times New Roman" w:eastAsia="宋体"/>
                <w:sz w:val="18"/>
                <w:szCs w:val="18"/>
              </w:rPr>
              <w:t>21,565,813.33</w:t>
            </w:r>
          </w:p>
        </w:tc>
        <w:tc>
          <w:tcPr>
            <w:tcW w:w="1653" w:type="dxa"/>
            <w:tcBorders>
              <w:top w:val="nil"/>
              <w:left w:val="nil"/>
              <w:bottom w:val="single" w:color="auto" w:sz="4" w:space="0"/>
              <w:right w:val="single" w:color="auto" w:sz="4" w:space="0"/>
            </w:tcBorders>
            <w:vAlign w:val="center"/>
          </w:tcPr>
          <w:p>
            <w:pPr>
              <w:spacing w:line="240" w:lineRule="auto"/>
              <w:jc w:val="right"/>
              <w:rPr>
                <w:rFonts w:ascii="Times New Roman" w:hAnsi="Times New Roman" w:eastAsia="宋体"/>
                <w:sz w:val="18"/>
                <w:szCs w:val="18"/>
              </w:rPr>
            </w:pPr>
            <w:r>
              <w:rPr>
                <w:rFonts w:ascii="Times New Roman" w:hAnsi="Times New Roman" w:eastAsia="宋体"/>
                <w:sz w:val="18"/>
                <w:szCs w:val="18"/>
              </w:rPr>
              <w:t>22,421,976.11</w:t>
            </w:r>
          </w:p>
        </w:tc>
        <w:tc>
          <w:tcPr>
            <w:tcW w:w="1653" w:type="dxa"/>
            <w:tcBorders>
              <w:top w:val="nil"/>
              <w:left w:val="nil"/>
              <w:bottom w:val="single" w:color="auto" w:sz="4" w:space="0"/>
              <w:right w:val="single" w:color="auto" w:sz="4" w:space="0"/>
            </w:tcBorders>
            <w:vAlign w:val="center"/>
          </w:tcPr>
          <w:p>
            <w:pPr>
              <w:spacing w:line="240" w:lineRule="auto"/>
              <w:jc w:val="right"/>
              <w:rPr>
                <w:rFonts w:ascii="Times New Roman" w:hAnsi="Times New Roman" w:eastAsia="宋体"/>
                <w:sz w:val="18"/>
                <w:szCs w:val="18"/>
              </w:rPr>
            </w:pPr>
            <w:r>
              <w:rPr>
                <w:rFonts w:ascii="Times New Roman" w:hAnsi="Times New Roman" w:eastAsia="宋体"/>
                <w:sz w:val="18"/>
                <w:szCs w:val="18"/>
              </w:rPr>
              <w:t>22,865,931.24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97" w:type="dxa"/>
            <w:tcBorders>
              <w:top w:val="nil"/>
              <w:left w:val="single" w:color="auto" w:sz="4" w:space="0"/>
              <w:bottom w:val="single" w:color="auto" w:sz="4" w:space="0"/>
              <w:right w:val="single" w:color="auto" w:sz="4" w:space="0"/>
            </w:tcBorders>
            <w:vAlign w:val="center"/>
          </w:tcPr>
          <w:p>
            <w:pPr>
              <w:widowControl/>
              <w:spacing w:line="240" w:lineRule="auto"/>
              <w:jc w:val="center"/>
              <w:rPr>
                <w:rFonts w:ascii="Times New Roman" w:hAnsi="Times New Roman" w:eastAsia="宋体"/>
                <w:b/>
                <w:kern w:val="0"/>
                <w:sz w:val="18"/>
                <w:szCs w:val="18"/>
              </w:rPr>
            </w:pPr>
            <w:r>
              <w:rPr>
                <w:rFonts w:ascii="Times New Roman" w:hAnsi="宋体" w:eastAsia="宋体"/>
                <w:b/>
                <w:kern w:val="0"/>
                <w:sz w:val="18"/>
                <w:szCs w:val="18"/>
              </w:rPr>
              <w:t>财产类</w:t>
            </w:r>
          </w:p>
        </w:tc>
        <w:tc>
          <w:tcPr>
            <w:tcW w:w="1653" w:type="dxa"/>
            <w:tcBorders>
              <w:top w:val="nil"/>
              <w:left w:val="nil"/>
              <w:bottom w:val="single" w:color="auto" w:sz="4" w:space="0"/>
              <w:right w:val="single" w:color="auto" w:sz="4" w:space="0"/>
            </w:tcBorders>
            <w:vAlign w:val="center"/>
          </w:tcPr>
          <w:p>
            <w:pPr>
              <w:spacing w:line="240" w:lineRule="auto"/>
              <w:jc w:val="right"/>
              <w:rPr>
                <w:rFonts w:ascii="Times New Roman" w:hAnsi="Times New Roman" w:eastAsia="宋体"/>
                <w:sz w:val="18"/>
                <w:szCs w:val="18"/>
              </w:rPr>
            </w:pPr>
            <w:r>
              <w:rPr>
                <w:rFonts w:ascii="Times New Roman" w:hAnsi="Times New Roman" w:eastAsia="宋体"/>
                <w:sz w:val="18"/>
                <w:szCs w:val="18"/>
              </w:rPr>
              <w:t>1,235,567.60</w:t>
            </w:r>
          </w:p>
        </w:tc>
        <w:tc>
          <w:tcPr>
            <w:tcW w:w="1653" w:type="dxa"/>
            <w:tcBorders>
              <w:top w:val="nil"/>
              <w:left w:val="nil"/>
              <w:bottom w:val="single" w:color="auto" w:sz="4" w:space="0"/>
              <w:right w:val="single" w:color="auto" w:sz="4" w:space="0"/>
            </w:tcBorders>
            <w:vAlign w:val="center"/>
          </w:tcPr>
          <w:p>
            <w:pPr>
              <w:spacing w:line="240" w:lineRule="auto"/>
              <w:jc w:val="right"/>
              <w:rPr>
                <w:rFonts w:ascii="Times New Roman" w:hAnsi="Times New Roman" w:eastAsia="宋体"/>
                <w:sz w:val="18"/>
                <w:szCs w:val="18"/>
              </w:rPr>
            </w:pPr>
            <w:r>
              <w:rPr>
                <w:rFonts w:ascii="Times New Roman" w:hAnsi="Times New Roman" w:eastAsia="宋体"/>
                <w:sz w:val="18"/>
                <w:szCs w:val="18"/>
              </w:rPr>
              <w:t>1,500,843.96</w:t>
            </w:r>
          </w:p>
        </w:tc>
        <w:tc>
          <w:tcPr>
            <w:tcW w:w="1653" w:type="dxa"/>
            <w:tcBorders>
              <w:top w:val="nil"/>
              <w:left w:val="nil"/>
              <w:bottom w:val="single" w:color="auto" w:sz="4" w:space="0"/>
              <w:right w:val="single" w:color="auto" w:sz="4" w:space="0"/>
            </w:tcBorders>
            <w:vAlign w:val="center"/>
          </w:tcPr>
          <w:p>
            <w:pPr>
              <w:spacing w:line="240" w:lineRule="auto"/>
              <w:jc w:val="right"/>
              <w:rPr>
                <w:rFonts w:ascii="Times New Roman" w:hAnsi="Times New Roman" w:eastAsia="宋体"/>
                <w:sz w:val="18"/>
                <w:szCs w:val="18"/>
              </w:rPr>
            </w:pPr>
            <w:r>
              <w:rPr>
                <w:rFonts w:ascii="Times New Roman" w:hAnsi="Times New Roman" w:eastAsia="宋体"/>
                <w:sz w:val="18"/>
                <w:szCs w:val="18"/>
              </w:rPr>
              <w:t>1,713,363.46</w:t>
            </w:r>
          </w:p>
        </w:tc>
        <w:tc>
          <w:tcPr>
            <w:tcW w:w="1653" w:type="dxa"/>
            <w:tcBorders>
              <w:top w:val="nil"/>
              <w:left w:val="nil"/>
              <w:bottom w:val="single" w:color="auto" w:sz="4" w:space="0"/>
              <w:right w:val="single" w:color="auto" w:sz="4" w:space="0"/>
            </w:tcBorders>
            <w:vAlign w:val="center"/>
          </w:tcPr>
          <w:p>
            <w:pPr>
              <w:spacing w:line="240" w:lineRule="auto"/>
              <w:jc w:val="right"/>
              <w:rPr>
                <w:rFonts w:ascii="Times New Roman" w:hAnsi="Times New Roman" w:eastAsia="宋体"/>
                <w:sz w:val="18"/>
                <w:szCs w:val="18"/>
              </w:rPr>
            </w:pPr>
            <w:r>
              <w:rPr>
                <w:rFonts w:ascii="Times New Roman" w:hAnsi="Times New Roman" w:eastAsia="宋体"/>
                <w:sz w:val="18"/>
                <w:szCs w:val="18"/>
              </w:rPr>
              <w:t>1,781,383.99</w:t>
            </w:r>
          </w:p>
        </w:tc>
        <w:tc>
          <w:tcPr>
            <w:tcW w:w="1653" w:type="dxa"/>
            <w:tcBorders>
              <w:top w:val="nil"/>
              <w:left w:val="nil"/>
              <w:bottom w:val="single" w:color="auto" w:sz="4" w:space="0"/>
              <w:right w:val="single" w:color="auto" w:sz="4" w:space="0"/>
            </w:tcBorders>
            <w:vAlign w:val="center"/>
          </w:tcPr>
          <w:p>
            <w:pPr>
              <w:spacing w:line="240" w:lineRule="auto"/>
              <w:jc w:val="right"/>
              <w:rPr>
                <w:rFonts w:ascii="Times New Roman" w:hAnsi="Times New Roman" w:eastAsia="宋体"/>
                <w:sz w:val="18"/>
                <w:szCs w:val="18"/>
              </w:rPr>
            </w:pPr>
            <w:r>
              <w:rPr>
                <w:rFonts w:ascii="Times New Roman" w:hAnsi="Times New Roman" w:eastAsia="宋体"/>
                <w:sz w:val="18"/>
                <w:szCs w:val="18"/>
              </w:rPr>
              <w:t>1,816,655.39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97" w:type="dxa"/>
            <w:tcBorders>
              <w:top w:val="nil"/>
              <w:left w:val="single" w:color="auto" w:sz="4" w:space="0"/>
              <w:bottom w:val="single" w:color="auto" w:sz="4" w:space="0"/>
              <w:right w:val="single" w:color="auto" w:sz="4" w:space="0"/>
            </w:tcBorders>
            <w:vAlign w:val="center"/>
          </w:tcPr>
          <w:p>
            <w:pPr>
              <w:widowControl/>
              <w:spacing w:line="240" w:lineRule="auto"/>
              <w:jc w:val="center"/>
              <w:rPr>
                <w:rFonts w:ascii="Times New Roman" w:hAnsi="Times New Roman" w:eastAsia="宋体"/>
                <w:b/>
                <w:kern w:val="0"/>
                <w:sz w:val="18"/>
                <w:szCs w:val="18"/>
              </w:rPr>
            </w:pPr>
            <w:r>
              <w:rPr>
                <w:rFonts w:ascii="Times New Roman" w:hAnsi="宋体" w:eastAsia="宋体"/>
                <w:b/>
                <w:kern w:val="0"/>
                <w:sz w:val="18"/>
                <w:szCs w:val="18"/>
              </w:rPr>
              <w:t>合计</w:t>
            </w:r>
          </w:p>
        </w:tc>
        <w:tc>
          <w:tcPr>
            <w:tcW w:w="1653" w:type="dxa"/>
            <w:tcBorders>
              <w:top w:val="nil"/>
              <w:left w:val="nil"/>
              <w:bottom w:val="single" w:color="auto" w:sz="4" w:space="0"/>
              <w:right w:val="single" w:color="auto" w:sz="4" w:space="0"/>
            </w:tcBorders>
            <w:vAlign w:val="center"/>
          </w:tcPr>
          <w:p>
            <w:pPr>
              <w:spacing w:line="240" w:lineRule="auto"/>
              <w:jc w:val="right"/>
              <w:rPr>
                <w:rFonts w:ascii="Times New Roman" w:hAnsi="Times New Roman" w:eastAsia="宋体"/>
                <w:sz w:val="18"/>
                <w:szCs w:val="18"/>
              </w:rPr>
            </w:pPr>
            <w:r>
              <w:rPr>
                <w:rFonts w:ascii="Times New Roman" w:hAnsi="Times New Roman" w:eastAsia="宋体"/>
                <w:sz w:val="18"/>
                <w:szCs w:val="18"/>
              </w:rPr>
              <w:t>17,729,952.69</w:t>
            </w:r>
          </w:p>
        </w:tc>
        <w:tc>
          <w:tcPr>
            <w:tcW w:w="1653" w:type="dxa"/>
            <w:tcBorders>
              <w:top w:val="nil"/>
              <w:left w:val="nil"/>
              <w:bottom w:val="single" w:color="auto" w:sz="4" w:space="0"/>
              <w:right w:val="single" w:color="auto" w:sz="4" w:space="0"/>
            </w:tcBorders>
            <w:vAlign w:val="center"/>
          </w:tcPr>
          <w:p>
            <w:pPr>
              <w:spacing w:line="240" w:lineRule="auto"/>
              <w:jc w:val="right"/>
              <w:rPr>
                <w:rFonts w:ascii="Times New Roman" w:hAnsi="Times New Roman" w:eastAsia="宋体"/>
                <w:sz w:val="18"/>
                <w:szCs w:val="18"/>
              </w:rPr>
            </w:pPr>
            <w:r>
              <w:rPr>
                <w:rFonts w:ascii="Times New Roman" w:hAnsi="Times New Roman" w:eastAsia="宋体"/>
                <w:sz w:val="18"/>
                <w:szCs w:val="18"/>
              </w:rPr>
              <w:t>21,536,573.53</w:t>
            </w:r>
          </w:p>
        </w:tc>
        <w:tc>
          <w:tcPr>
            <w:tcW w:w="1653" w:type="dxa"/>
            <w:tcBorders>
              <w:top w:val="nil"/>
              <w:left w:val="nil"/>
              <w:bottom w:val="single" w:color="auto" w:sz="4" w:space="0"/>
              <w:right w:val="single" w:color="auto" w:sz="4" w:space="0"/>
            </w:tcBorders>
            <w:vAlign w:val="center"/>
          </w:tcPr>
          <w:p>
            <w:pPr>
              <w:spacing w:line="240" w:lineRule="auto"/>
              <w:jc w:val="right"/>
              <w:rPr>
                <w:rFonts w:ascii="Times New Roman" w:hAnsi="Times New Roman" w:eastAsia="宋体"/>
                <w:sz w:val="18"/>
                <w:szCs w:val="18"/>
              </w:rPr>
            </w:pPr>
            <w:r>
              <w:rPr>
                <w:rFonts w:ascii="Times New Roman" w:hAnsi="Times New Roman" w:eastAsia="宋体"/>
                <w:sz w:val="18"/>
                <w:szCs w:val="18"/>
              </w:rPr>
              <w:t>24,586,152.33</w:t>
            </w:r>
          </w:p>
        </w:tc>
        <w:tc>
          <w:tcPr>
            <w:tcW w:w="1653" w:type="dxa"/>
            <w:tcBorders>
              <w:top w:val="nil"/>
              <w:left w:val="nil"/>
              <w:bottom w:val="single" w:color="auto" w:sz="4" w:space="0"/>
              <w:right w:val="single" w:color="auto" w:sz="4" w:space="0"/>
            </w:tcBorders>
            <w:vAlign w:val="center"/>
          </w:tcPr>
          <w:p>
            <w:pPr>
              <w:spacing w:line="240" w:lineRule="auto"/>
              <w:jc w:val="right"/>
              <w:rPr>
                <w:rFonts w:ascii="Times New Roman" w:hAnsi="Times New Roman" w:eastAsia="宋体"/>
                <w:sz w:val="18"/>
                <w:szCs w:val="18"/>
              </w:rPr>
            </w:pPr>
            <w:r>
              <w:rPr>
                <w:rFonts w:ascii="Times New Roman" w:hAnsi="Times New Roman" w:eastAsia="宋体"/>
                <w:sz w:val="18"/>
                <w:szCs w:val="18"/>
              </w:rPr>
              <w:t>25,562,222.56</w:t>
            </w:r>
          </w:p>
        </w:tc>
        <w:tc>
          <w:tcPr>
            <w:tcW w:w="1653" w:type="dxa"/>
            <w:tcBorders>
              <w:top w:val="nil"/>
              <w:left w:val="nil"/>
              <w:bottom w:val="single" w:color="auto" w:sz="4" w:space="0"/>
              <w:right w:val="single" w:color="auto" w:sz="4" w:space="0"/>
            </w:tcBorders>
            <w:vAlign w:val="center"/>
          </w:tcPr>
          <w:p>
            <w:pPr>
              <w:spacing w:line="240" w:lineRule="auto"/>
              <w:jc w:val="right"/>
              <w:rPr>
                <w:rFonts w:ascii="Times New Roman" w:hAnsi="Times New Roman" w:eastAsia="宋体"/>
                <w:sz w:val="18"/>
                <w:szCs w:val="18"/>
              </w:rPr>
            </w:pPr>
            <w:r>
              <w:rPr>
                <w:rFonts w:ascii="Times New Roman" w:hAnsi="Times New Roman" w:eastAsia="宋体"/>
                <w:sz w:val="18"/>
                <w:szCs w:val="18"/>
              </w:rPr>
              <w:t>26,068,354.56</w:t>
            </w:r>
          </w:p>
        </w:tc>
      </w:tr>
    </w:tbl>
    <w:p>
      <w:pPr>
        <w:spacing w:line="360" w:lineRule="auto"/>
        <w:ind w:firstLine="584" w:firstLineChars="200"/>
        <w:rPr>
          <w:rFonts w:ascii="Times New Roman" w:hAnsi="Times New Roman"/>
          <w:sz w:val="28"/>
          <w:szCs w:val="28"/>
        </w:rPr>
      </w:pPr>
    </w:p>
    <w:p>
      <w:pPr>
        <w:spacing w:line="360" w:lineRule="auto"/>
        <w:ind w:firstLine="584" w:firstLineChars="200"/>
        <w:rPr>
          <w:rFonts w:ascii="Times New Roman" w:hAnsi="Times New Roman"/>
          <w:sz w:val="28"/>
          <w:szCs w:val="28"/>
        </w:rPr>
      </w:pPr>
      <w:r>
        <w:rPr>
          <w:rFonts w:ascii="Times New Roman" w:hAnsi="Times New Roman"/>
          <w:sz w:val="28"/>
          <w:szCs w:val="28"/>
        </w:rPr>
        <w:t>2、信托手续费收入预测</w:t>
      </w:r>
    </w:p>
    <w:p>
      <w:pPr>
        <w:spacing w:line="360" w:lineRule="auto"/>
        <w:ind w:firstLine="561" w:firstLineChars="192"/>
        <w:rPr>
          <w:rFonts w:ascii="Times New Roman" w:hAnsi="Times New Roman"/>
          <w:sz w:val="28"/>
        </w:rPr>
      </w:pPr>
      <w:r>
        <w:rPr>
          <w:rFonts w:ascii="Times New Roman" w:hAnsi="Times New Roman"/>
          <w:sz w:val="28"/>
        </w:rPr>
        <w:t>由xx信托公司评估基准日的财务数据，其单一类、集合类、财产类信托的报酬率分别为1.64%、0.14%、0.31%。假设未来年度各类信托业务报酬率不变，据此预测xx信托未来年度信托手续费及佣金收入数据下表所示。</w:t>
      </w:r>
    </w:p>
    <w:tbl>
      <w:tblPr>
        <w:tblStyle w:val="27"/>
        <w:tblW w:w="9162" w:type="dxa"/>
        <w:jc w:val="righ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44"/>
        <w:gridCol w:w="1552"/>
        <w:gridCol w:w="1552"/>
        <w:gridCol w:w="1552"/>
        <w:gridCol w:w="1552"/>
        <w:gridCol w:w="17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blHeader/>
          <w:jc w:val="right"/>
        </w:trPr>
        <w:tc>
          <w:tcPr>
            <w:tcW w:w="1244"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Times New Roman" w:hAnsi="Times New Roman" w:eastAsia="宋体"/>
                <w:b/>
                <w:bCs/>
                <w:kern w:val="0"/>
                <w:sz w:val="18"/>
                <w:szCs w:val="18"/>
              </w:rPr>
            </w:pPr>
            <w:r>
              <w:rPr>
                <w:rFonts w:ascii="Times New Roman" w:hAnsi="Times New Roman" w:eastAsia="宋体"/>
                <w:b/>
                <w:bCs/>
                <w:kern w:val="0"/>
                <w:sz w:val="18"/>
                <w:szCs w:val="18"/>
              </w:rPr>
              <w:t>年份</w:t>
            </w:r>
          </w:p>
        </w:tc>
        <w:tc>
          <w:tcPr>
            <w:tcW w:w="1552"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Times New Roman" w:hAnsi="Times New Roman" w:eastAsia="宋体"/>
                <w:b/>
                <w:bCs/>
                <w:kern w:val="0"/>
                <w:sz w:val="18"/>
                <w:szCs w:val="18"/>
              </w:rPr>
            </w:pPr>
            <w:r>
              <w:rPr>
                <w:rFonts w:ascii="Times New Roman" w:hAnsi="Times New Roman" w:eastAsia="宋体"/>
                <w:b/>
                <w:bCs/>
                <w:kern w:val="0"/>
                <w:sz w:val="18"/>
                <w:szCs w:val="18"/>
              </w:rPr>
              <w:t>20x4年</w:t>
            </w:r>
          </w:p>
        </w:tc>
        <w:tc>
          <w:tcPr>
            <w:tcW w:w="1552"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Times New Roman" w:hAnsi="Times New Roman" w:eastAsia="宋体"/>
                <w:b/>
                <w:bCs/>
                <w:kern w:val="0"/>
                <w:sz w:val="18"/>
                <w:szCs w:val="18"/>
              </w:rPr>
            </w:pPr>
            <w:r>
              <w:rPr>
                <w:rFonts w:ascii="Times New Roman" w:hAnsi="Times New Roman" w:eastAsia="宋体"/>
                <w:b/>
                <w:bCs/>
                <w:kern w:val="0"/>
                <w:sz w:val="18"/>
                <w:szCs w:val="18"/>
              </w:rPr>
              <w:t>20x5年</w:t>
            </w:r>
          </w:p>
        </w:tc>
        <w:tc>
          <w:tcPr>
            <w:tcW w:w="1552"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Times New Roman" w:hAnsi="Times New Roman" w:eastAsia="宋体"/>
                <w:b/>
                <w:bCs/>
                <w:kern w:val="0"/>
                <w:sz w:val="18"/>
                <w:szCs w:val="18"/>
              </w:rPr>
            </w:pPr>
            <w:r>
              <w:rPr>
                <w:rFonts w:ascii="Times New Roman" w:hAnsi="Times New Roman" w:eastAsia="宋体"/>
                <w:b/>
                <w:bCs/>
                <w:kern w:val="0"/>
                <w:sz w:val="18"/>
                <w:szCs w:val="18"/>
              </w:rPr>
              <w:t>20x6年</w:t>
            </w:r>
          </w:p>
        </w:tc>
        <w:tc>
          <w:tcPr>
            <w:tcW w:w="1552"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Times New Roman" w:hAnsi="Times New Roman" w:eastAsia="宋体"/>
                <w:b/>
                <w:bCs/>
                <w:kern w:val="0"/>
                <w:sz w:val="18"/>
                <w:szCs w:val="18"/>
              </w:rPr>
            </w:pPr>
            <w:r>
              <w:rPr>
                <w:rFonts w:ascii="Times New Roman" w:hAnsi="Times New Roman" w:eastAsia="宋体"/>
                <w:b/>
                <w:bCs/>
                <w:kern w:val="0"/>
                <w:sz w:val="18"/>
                <w:szCs w:val="18"/>
              </w:rPr>
              <w:t>20x7年</w:t>
            </w:r>
          </w:p>
        </w:tc>
        <w:tc>
          <w:tcPr>
            <w:tcW w:w="1710"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Times New Roman" w:hAnsi="Times New Roman" w:eastAsia="宋体"/>
                <w:b/>
                <w:bCs/>
                <w:kern w:val="0"/>
                <w:sz w:val="18"/>
                <w:szCs w:val="18"/>
              </w:rPr>
            </w:pPr>
            <w:r>
              <w:rPr>
                <w:rFonts w:ascii="Times New Roman" w:hAnsi="Times New Roman" w:eastAsia="宋体"/>
                <w:b/>
                <w:bCs/>
                <w:kern w:val="0"/>
                <w:sz w:val="18"/>
                <w:szCs w:val="18"/>
              </w:rPr>
              <w:t>20x8年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right"/>
        </w:trPr>
        <w:tc>
          <w:tcPr>
            <w:tcW w:w="1244"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Times New Roman" w:hAnsi="Times New Roman" w:eastAsia="宋体"/>
                <w:b/>
                <w:bCs/>
                <w:kern w:val="0"/>
                <w:sz w:val="18"/>
                <w:szCs w:val="18"/>
              </w:rPr>
            </w:pPr>
            <w:r>
              <w:rPr>
                <w:rFonts w:ascii="Times New Roman" w:hAnsi="Times New Roman" w:eastAsia="宋体"/>
                <w:b/>
                <w:bCs/>
                <w:kern w:val="0"/>
                <w:sz w:val="18"/>
                <w:szCs w:val="18"/>
              </w:rPr>
              <w:t>集合类</w:t>
            </w:r>
          </w:p>
        </w:tc>
        <w:tc>
          <w:tcPr>
            <w:tcW w:w="1552" w:type="dxa"/>
            <w:tcBorders>
              <w:top w:val="single" w:color="auto" w:sz="4" w:space="0"/>
              <w:left w:val="single" w:color="auto" w:sz="4" w:space="0"/>
              <w:bottom w:val="single" w:color="auto" w:sz="4" w:space="0"/>
              <w:right w:val="single" w:color="auto" w:sz="4" w:space="0"/>
            </w:tcBorders>
            <w:vAlign w:val="center"/>
          </w:tcPr>
          <w:p>
            <w:pPr>
              <w:spacing w:line="240" w:lineRule="auto"/>
              <w:jc w:val="right"/>
              <w:rPr>
                <w:rFonts w:ascii="Times New Roman" w:hAnsi="Times New Roman" w:eastAsia="宋体"/>
                <w:sz w:val="18"/>
                <w:szCs w:val="18"/>
              </w:rPr>
            </w:pPr>
            <w:r>
              <w:rPr>
                <w:rFonts w:ascii="Times New Roman" w:hAnsi="Times New Roman" w:eastAsia="宋体"/>
                <w:sz w:val="18"/>
                <w:szCs w:val="18"/>
              </w:rPr>
              <w:t xml:space="preserve">15,443.92 </w:t>
            </w:r>
          </w:p>
        </w:tc>
        <w:tc>
          <w:tcPr>
            <w:tcW w:w="1552" w:type="dxa"/>
            <w:tcBorders>
              <w:top w:val="single" w:color="auto" w:sz="4" w:space="0"/>
              <w:left w:val="single" w:color="auto" w:sz="4" w:space="0"/>
              <w:bottom w:val="single" w:color="auto" w:sz="4" w:space="0"/>
              <w:right w:val="single" w:color="auto" w:sz="4" w:space="0"/>
            </w:tcBorders>
            <w:vAlign w:val="center"/>
          </w:tcPr>
          <w:p>
            <w:pPr>
              <w:spacing w:line="240" w:lineRule="auto"/>
              <w:jc w:val="right"/>
              <w:rPr>
                <w:rFonts w:ascii="Times New Roman" w:hAnsi="Times New Roman" w:eastAsia="宋体"/>
                <w:sz w:val="18"/>
                <w:szCs w:val="18"/>
              </w:rPr>
            </w:pPr>
            <w:r>
              <w:rPr>
                <w:rFonts w:ascii="Times New Roman" w:hAnsi="Times New Roman" w:eastAsia="宋体"/>
                <w:sz w:val="18"/>
                <w:szCs w:val="18"/>
              </w:rPr>
              <w:t xml:space="preserve">18,759.72 </w:t>
            </w:r>
          </w:p>
        </w:tc>
        <w:tc>
          <w:tcPr>
            <w:tcW w:w="1552" w:type="dxa"/>
            <w:tcBorders>
              <w:top w:val="single" w:color="auto" w:sz="4" w:space="0"/>
              <w:left w:val="single" w:color="auto" w:sz="4" w:space="0"/>
              <w:bottom w:val="single" w:color="auto" w:sz="4" w:space="0"/>
              <w:right w:val="single" w:color="auto" w:sz="4" w:space="0"/>
            </w:tcBorders>
            <w:vAlign w:val="center"/>
          </w:tcPr>
          <w:p>
            <w:pPr>
              <w:spacing w:line="240" w:lineRule="auto"/>
              <w:jc w:val="right"/>
              <w:rPr>
                <w:rFonts w:ascii="Times New Roman" w:hAnsi="Times New Roman" w:eastAsia="宋体"/>
                <w:sz w:val="18"/>
                <w:szCs w:val="18"/>
              </w:rPr>
            </w:pPr>
            <w:r>
              <w:rPr>
                <w:rFonts w:ascii="Times New Roman" w:hAnsi="Times New Roman" w:eastAsia="宋体"/>
                <w:sz w:val="18"/>
                <w:szCs w:val="18"/>
              </w:rPr>
              <w:t xml:space="preserve">21,416.10 </w:t>
            </w:r>
          </w:p>
        </w:tc>
        <w:tc>
          <w:tcPr>
            <w:tcW w:w="1552" w:type="dxa"/>
            <w:tcBorders>
              <w:top w:val="single" w:color="auto" w:sz="4" w:space="0"/>
              <w:left w:val="single" w:color="auto" w:sz="4" w:space="0"/>
              <w:bottom w:val="single" w:color="auto" w:sz="4" w:space="0"/>
              <w:right w:val="single" w:color="auto" w:sz="4" w:space="0"/>
            </w:tcBorders>
            <w:vAlign w:val="center"/>
          </w:tcPr>
          <w:p>
            <w:pPr>
              <w:spacing w:line="240" w:lineRule="auto"/>
              <w:jc w:val="right"/>
              <w:rPr>
                <w:rFonts w:ascii="Times New Roman" w:hAnsi="Times New Roman" w:eastAsia="宋体"/>
                <w:sz w:val="18"/>
                <w:szCs w:val="18"/>
              </w:rPr>
            </w:pPr>
            <w:r>
              <w:rPr>
                <w:rFonts w:ascii="Times New Roman" w:hAnsi="Times New Roman" w:eastAsia="宋体"/>
                <w:sz w:val="18"/>
                <w:szCs w:val="18"/>
              </w:rPr>
              <w:t xml:space="preserve">22,266.32 </w:t>
            </w:r>
          </w:p>
        </w:tc>
        <w:tc>
          <w:tcPr>
            <w:tcW w:w="1710" w:type="dxa"/>
            <w:tcBorders>
              <w:top w:val="single" w:color="auto" w:sz="4" w:space="0"/>
              <w:left w:val="single" w:color="auto" w:sz="4" w:space="0"/>
              <w:bottom w:val="single" w:color="auto" w:sz="4" w:space="0"/>
              <w:right w:val="single" w:color="auto" w:sz="4" w:space="0"/>
            </w:tcBorders>
            <w:vAlign w:val="center"/>
          </w:tcPr>
          <w:p>
            <w:pPr>
              <w:spacing w:line="240" w:lineRule="auto"/>
              <w:jc w:val="right"/>
              <w:rPr>
                <w:rFonts w:ascii="Times New Roman" w:hAnsi="Times New Roman" w:eastAsia="宋体"/>
                <w:sz w:val="18"/>
                <w:szCs w:val="18"/>
              </w:rPr>
            </w:pPr>
            <w:r>
              <w:rPr>
                <w:rFonts w:ascii="Times New Roman" w:hAnsi="Times New Roman" w:eastAsia="宋体"/>
                <w:sz w:val="18"/>
                <w:szCs w:val="18"/>
              </w:rPr>
              <w:t xml:space="preserve">22,707.19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right"/>
        </w:trPr>
        <w:tc>
          <w:tcPr>
            <w:tcW w:w="1244"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Times New Roman" w:hAnsi="Times New Roman" w:eastAsia="宋体"/>
                <w:b/>
                <w:bCs/>
                <w:kern w:val="0"/>
                <w:sz w:val="18"/>
                <w:szCs w:val="18"/>
              </w:rPr>
            </w:pPr>
            <w:r>
              <w:rPr>
                <w:rFonts w:ascii="Times New Roman" w:hAnsi="Times New Roman" w:eastAsia="宋体"/>
                <w:b/>
                <w:bCs/>
                <w:kern w:val="0"/>
                <w:sz w:val="18"/>
                <w:szCs w:val="18"/>
              </w:rPr>
              <w:t>单一类</w:t>
            </w:r>
          </w:p>
        </w:tc>
        <w:tc>
          <w:tcPr>
            <w:tcW w:w="1552" w:type="dxa"/>
            <w:tcBorders>
              <w:top w:val="single" w:color="auto" w:sz="4" w:space="0"/>
              <w:left w:val="nil"/>
              <w:bottom w:val="single" w:color="auto" w:sz="4" w:space="0"/>
              <w:right w:val="single" w:color="auto" w:sz="4" w:space="0"/>
            </w:tcBorders>
            <w:vAlign w:val="center"/>
          </w:tcPr>
          <w:p>
            <w:pPr>
              <w:spacing w:line="240" w:lineRule="auto"/>
              <w:jc w:val="right"/>
              <w:rPr>
                <w:rFonts w:ascii="Times New Roman" w:hAnsi="Times New Roman" w:eastAsia="宋体"/>
                <w:sz w:val="18"/>
                <w:szCs w:val="18"/>
              </w:rPr>
            </w:pPr>
            <w:r>
              <w:rPr>
                <w:rFonts w:ascii="Times New Roman" w:hAnsi="Times New Roman" w:eastAsia="宋体"/>
                <w:sz w:val="18"/>
                <w:szCs w:val="18"/>
              </w:rPr>
              <w:t xml:space="preserve">21,119.45 </w:t>
            </w:r>
          </w:p>
        </w:tc>
        <w:tc>
          <w:tcPr>
            <w:tcW w:w="1552" w:type="dxa"/>
            <w:tcBorders>
              <w:top w:val="single" w:color="auto" w:sz="4" w:space="0"/>
              <w:left w:val="nil"/>
              <w:bottom w:val="single" w:color="auto" w:sz="4" w:space="0"/>
              <w:right w:val="single" w:color="auto" w:sz="4" w:space="0"/>
            </w:tcBorders>
            <w:vAlign w:val="center"/>
          </w:tcPr>
          <w:p>
            <w:pPr>
              <w:spacing w:line="240" w:lineRule="auto"/>
              <w:jc w:val="right"/>
              <w:rPr>
                <w:rFonts w:ascii="Times New Roman" w:hAnsi="Times New Roman" w:eastAsia="宋体"/>
                <w:sz w:val="18"/>
                <w:szCs w:val="18"/>
              </w:rPr>
            </w:pPr>
            <w:r>
              <w:rPr>
                <w:rFonts w:ascii="Times New Roman" w:hAnsi="Times New Roman" w:eastAsia="宋体"/>
                <w:sz w:val="18"/>
                <w:szCs w:val="18"/>
              </w:rPr>
              <w:t xml:space="preserve">25,653.80 </w:t>
            </w:r>
          </w:p>
        </w:tc>
        <w:tc>
          <w:tcPr>
            <w:tcW w:w="1552" w:type="dxa"/>
            <w:tcBorders>
              <w:top w:val="single" w:color="auto" w:sz="4" w:space="0"/>
              <w:left w:val="nil"/>
              <w:bottom w:val="single" w:color="auto" w:sz="4" w:space="0"/>
              <w:right w:val="single" w:color="auto" w:sz="4" w:space="0"/>
            </w:tcBorders>
            <w:vAlign w:val="center"/>
          </w:tcPr>
          <w:p>
            <w:pPr>
              <w:spacing w:line="240" w:lineRule="auto"/>
              <w:jc w:val="right"/>
              <w:rPr>
                <w:rFonts w:ascii="Times New Roman" w:hAnsi="Times New Roman" w:eastAsia="宋体"/>
                <w:sz w:val="18"/>
                <w:szCs w:val="18"/>
              </w:rPr>
            </w:pPr>
            <w:r>
              <w:rPr>
                <w:rFonts w:ascii="Times New Roman" w:hAnsi="Times New Roman" w:eastAsia="宋体"/>
                <w:sz w:val="18"/>
                <w:szCs w:val="18"/>
              </w:rPr>
              <w:t xml:space="preserve">29,286.37 </w:t>
            </w:r>
          </w:p>
        </w:tc>
        <w:tc>
          <w:tcPr>
            <w:tcW w:w="1552" w:type="dxa"/>
            <w:tcBorders>
              <w:top w:val="single" w:color="auto" w:sz="4" w:space="0"/>
              <w:left w:val="nil"/>
              <w:bottom w:val="single" w:color="auto" w:sz="4" w:space="0"/>
              <w:right w:val="single" w:color="auto" w:sz="4" w:space="0"/>
            </w:tcBorders>
            <w:vAlign w:val="center"/>
          </w:tcPr>
          <w:p>
            <w:pPr>
              <w:spacing w:line="240" w:lineRule="auto"/>
              <w:jc w:val="right"/>
              <w:rPr>
                <w:rFonts w:ascii="Times New Roman" w:hAnsi="Times New Roman" w:eastAsia="宋体"/>
                <w:sz w:val="18"/>
                <w:szCs w:val="18"/>
              </w:rPr>
            </w:pPr>
            <w:r>
              <w:rPr>
                <w:rFonts w:ascii="Times New Roman" w:hAnsi="Times New Roman" w:eastAsia="宋体"/>
                <w:sz w:val="18"/>
                <w:szCs w:val="18"/>
              </w:rPr>
              <w:t xml:space="preserve">30,449.04 </w:t>
            </w:r>
          </w:p>
        </w:tc>
        <w:tc>
          <w:tcPr>
            <w:tcW w:w="1710" w:type="dxa"/>
            <w:tcBorders>
              <w:top w:val="single" w:color="auto" w:sz="4" w:space="0"/>
              <w:left w:val="nil"/>
              <w:bottom w:val="single" w:color="auto" w:sz="4" w:space="0"/>
              <w:right w:val="single" w:color="auto" w:sz="4" w:space="0"/>
            </w:tcBorders>
            <w:vAlign w:val="center"/>
          </w:tcPr>
          <w:p>
            <w:pPr>
              <w:spacing w:line="240" w:lineRule="auto"/>
              <w:jc w:val="right"/>
              <w:rPr>
                <w:rFonts w:ascii="Times New Roman" w:hAnsi="Times New Roman" w:eastAsia="宋体"/>
                <w:sz w:val="18"/>
                <w:szCs w:val="18"/>
              </w:rPr>
            </w:pPr>
            <w:r>
              <w:rPr>
                <w:rFonts w:ascii="Times New Roman" w:hAnsi="Times New Roman" w:eastAsia="宋体"/>
                <w:sz w:val="18"/>
                <w:szCs w:val="18"/>
              </w:rPr>
              <w:t xml:space="preserve"> 31,051.93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right"/>
        </w:trPr>
        <w:tc>
          <w:tcPr>
            <w:tcW w:w="1244" w:type="dxa"/>
            <w:tcBorders>
              <w:top w:val="nil"/>
              <w:left w:val="single" w:color="auto" w:sz="4" w:space="0"/>
              <w:bottom w:val="single" w:color="auto" w:sz="4" w:space="0"/>
              <w:right w:val="single" w:color="auto" w:sz="4" w:space="0"/>
            </w:tcBorders>
            <w:vAlign w:val="center"/>
          </w:tcPr>
          <w:p>
            <w:pPr>
              <w:widowControl/>
              <w:spacing w:line="240" w:lineRule="auto"/>
              <w:jc w:val="center"/>
              <w:rPr>
                <w:rFonts w:ascii="Times New Roman" w:hAnsi="Times New Roman" w:eastAsia="宋体"/>
                <w:b/>
                <w:bCs/>
                <w:kern w:val="0"/>
                <w:sz w:val="18"/>
                <w:szCs w:val="18"/>
              </w:rPr>
            </w:pPr>
            <w:r>
              <w:rPr>
                <w:rFonts w:ascii="Times New Roman" w:hAnsi="Times New Roman" w:eastAsia="宋体"/>
                <w:b/>
                <w:bCs/>
                <w:kern w:val="0"/>
                <w:sz w:val="18"/>
                <w:szCs w:val="18"/>
              </w:rPr>
              <w:t>财产类</w:t>
            </w:r>
          </w:p>
        </w:tc>
        <w:tc>
          <w:tcPr>
            <w:tcW w:w="1552" w:type="dxa"/>
            <w:tcBorders>
              <w:top w:val="nil"/>
              <w:left w:val="nil"/>
              <w:bottom w:val="single" w:color="auto" w:sz="4" w:space="0"/>
              <w:right w:val="single" w:color="auto" w:sz="4" w:space="0"/>
            </w:tcBorders>
            <w:vAlign w:val="center"/>
          </w:tcPr>
          <w:p>
            <w:pPr>
              <w:spacing w:line="240" w:lineRule="auto"/>
              <w:jc w:val="right"/>
              <w:rPr>
                <w:rFonts w:ascii="Times New Roman" w:hAnsi="Times New Roman" w:eastAsia="宋体"/>
                <w:sz w:val="18"/>
                <w:szCs w:val="18"/>
              </w:rPr>
            </w:pPr>
            <w:r>
              <w:rPr>
                <w:rFonts w:ascii="Times New Roman" w:hAnsi="Times New Roman" w:eastAsia="宋体"/>
                <w:sz w:val="18"/>
                <w:szCs w:val="18"/>
              </w:rPr>
              <w:t xml:space="preserve">3,851.26 </w:t>
            </w:r>
          </w:p>
        </w:tc>
        <w:tc>
          <w:tcPr>
            <w:tcW w:w="1552" w:type="dxa"/>
            <w:tcBorders>
              <w:top w:val="nil"/>
              <w:left w:val="nil"/>
              <w:bottom w:val="single" w:color="auto" w:sz="4" w:space="0"/>
              <w:right w:val="single" w:color="auto" w:sz="4" w:space="0"/>
            </w:tcBorders>
            <w:vAlign w:val="center"/>
          </w:tcPr>
          <w:p>
            <w:pPr>
              <w:spacing w:line="240" w:lineRule="auto"/>
              <w:jc w:val="right"/>
              <w:rPr>
                <w:rFonts w:ascii="Times New Roman" w:hAnsi="Times New Roman" w:eastAsia="宋体"/>
                <w:sz w:val="18"/>
                <w:szCs w:val="18"/>
              </w:rPr>
            </w:pPr>
            <w:r>
              <w:rPr>
                <w:rFonts w:ascii="Times New Roman" w:hAnsi="Times New Roman" w:eastAsia="宋体"/>
                <w:sz w:val="18"/>
                <w:szCs w:val="18"/>
              </w:rPr>
              <w:t xml:space="preserve">4,678.13 </w:t>
            </w:r>
          </w:p>
        </w:tc>
        <w:tc>
          <w:tcPr>
            <w:tcW w:w="1552" w:type="dxa"/>
            <w:tcBorders>
              <w:top w:val="nil"/>
              <w:left w:val="nil"/>
              <w:bottom w:val="single" w:color="auto" w:sz="4" w:space="0"/>
              <w:right w:val="single" w:color="auto" w:sz="4" w:space="0"/>
            </w:tcBorders>
            <w:vAlign w:val="center"/>
          </w:tcPr>
          <w:p>
            <w:pPr>
              <w:spacing w:line="240" w:lineRule="auto"/>
              <w:jc w:val="right"/>
              <w:rPr>
                <w:rFonts w:ascii="Times New Roman" w:hAnsi="Times New Roman" w:eastAsia="宋体"/>
                <w:sz w:val="18"/>
                <w:szCs w:val="18"/>
              </w:rPr>
            </w:pPr>
            <w:r>
              <w:rPr>
                <w:rFonts w:ascii="Times New Roman" w:hAnsi="Times New Roman" w:eastAsia="宋体"/>
                <w:sz w:val="18"/>
                <w:szCs w:val="18"/>
              </w:rPr>
              <w:t xml:space="preserve">5,340.55 </w:t>
            </w:r>
          </w:p>
        </w:tc>
        <w:tc>
          <w:tcPr>
            <w:tcW w:w="1552" w:type="dxa"/>
            <w:tcBorders>
              <w:top w:val="nil"/>
              <w:left w:val="nil"/>
              <w:bottom w:val="single" w:color="auto" w:sz="4" w:space="0"/>
              <w:right w:val="single" w:color="auto" w:sz="4" w:space="0"/>
            </w:tcBorders>
            <w:vAlign w:val="center"/>
          </w:tcPr>
          <w:p>
            <w:pPr>
              <w:spacing w:line="240" w:lineRule="auto"/>
              <w:jc w:val="right"/>
              <w:rPr>
                <w:rFonts w:ascii="Times New Roman" w:hAnsi="Times New Roman" w:eastAsia="宋体"/>
                <w:sz w:val="18"/>
                <w:szCs w:val="18"/>
              </w:rPr>
            </w:pPr>
            <w:r>
              <w:rPr>
                <w:rFonts w:ascii="Times New Roman" w:hAnsi="Times New Roman" w:eastAsia="宋体"/>
                <w:sz w:val="18"/>
                <w:szCs w:val="18"/>
              </w:rPr>
              <w:t xml:space="preserve">5,552.57 </w:t>
            </w:r>
          </w:p>
        </w:tc>
        <w:tc>
          <w:tcPr>
            <w:tcW w:w="1710" w:type="dxa"/>
            <w:tcBorders>
              <w:top w:val="nil"/>
              <w:left w:val="nil"/>
              <w:bottom w:val="single" w:color="auto" w:sz="4" w:space="0"/>
              <w:right w:val="single" w:color="auto" w:sz="4" w:space="0"/>
            </w:tcBorders>
            <w:vAlign w:val="center"/>
          </w:tcPr>
          <w:p>
            <w:pPr>
              <w:spacing w:line="240" w:lineRule="auto"/>
              <w:jc w:val="right"/>
              <w:rPr>
                <w:rFonts w:ascii="Times New Roman" w:hAnsi="Times New Roman" w:eastAsia="宋体"/>
                <w:sz w:val="18"/>
                <w:szCs w:val="18"/>
              </w:rPr>
            </w:pPr>
            <w:r>
              <w:rPr>
                <w:rFonts w:ascii="Times New Roman" w:hAnsi="Times New Roman" w:eastAsia="宋体"/>
                <w:sz w:val="18"/>
                <w:szCs w:val="18"/>
              </w:rPr>
              <w:t xml:space="preserve">5,662.51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right"/>
        </w:trPr>
        <w:tc>
          <w:tcPr>
            <w:tcW w:w="1244" w:type="dxa"/>
            <w:tcBorders>
              <w:top w:val="nil"/>
              <w:left w:val="single" w:color="auto" w:sz="4" w:space="0"/>
              <w:bottom w:val="single" w:color="auto" w:sz="4" w:space="0"/>
              <w:right w:val="single" w:color="auto" w:sz="4" w:space="0"/>
            </w:tcBorders>
            <w:vAlign w:val="center"/>
          </w:tcPr>
          <w:p>
            <w:pPr>
              <w:widowControl/>
              <w:spacing w:line="240" w:lineRule="auto"/>
              <w:jc w:val="center"/>
              <w:rPr>
                <w:rFonts w:ascii="Times New Roman" w:hAnsi="Times New Roman" w:eastAsia="宋体"/>
                <w:b/>
                <w:bCs/>
                <w:kern w:val="0"/>
                <w:sz w:val="18"/>
                <w:szCs w:val="18"/>
              </w:rPr>
            </w:pPr>
            <w:r>
              <w:rPr>
                <w:rFonts w:ascii="Times New Roman" w:hAnsi="Times New Roman" w:eastAsia="宋体"/>
                <w:b/>
                <w:bCs/>
                <w:kern w:val="0"/>
                <w:sz w:val="18"/>
                <w:szCs w:val="18"/>
              </w:rPr>
              <w:t>合计</w:t>
            </w:r>
          </w:p>
        </w:tc>
        <w:tc>
          <w:tcPr>
            <w:tcW w:w="1552" w:type="dxa"/>
            <w:tcBorders>
              <w:top w:val="nil"/>
              <w:left w:val="nil"/>
              <w:bottom w:val="single" w:color="auto" w:sz="4" w:space="0"/>
              <w:right w:val="single" w:color="auto" w:sz="4" w:space="0"/>
            </w:tcBorders>
            <w:vAlign w:val="center"/>
          </w:tcPr>
          <w:p>
            <w:pPr>
              <w:spacing w:line="240" w:lineRule="auto"/>
              <w:jc w:val="right"/>
              <w:rPr>
                <w:rFonts w:ascii="Times New Roman" w:hAnsi="Times New Roman" w:eastAsia="宋体"/>
                <w:sz w:val="18"/>
                <w:szCs w:val="18"/>
              </w:rPr>
            </w:pPr>
            <w:r>
              <w:rPr>
                <w:rFonts w:ascii="Times New Roman" w:hAnsi="Times New Roman" w:eastAsia="宋体"/>
                <w:sz w:val="18"/>
                <w:szCs w:val="18"/>
              </w:rPr>
              <w:t xml:space="preserve">40,414.63 </w:t>
            </w:r>
          </w:p>
        </w:tc>
        <w:tc>
          <w:tcPr>
            <w:tcW w:w="1552" w:type="dxa"/>
            <w:tcBorders>
              <w:top w:val="nil"/>
              <w:left w:val="nil"/>
              <w:bottom w:val="single" w:color="auto" w:sz="4" w:space="0"/>
              <w:right w:val="single" w:color="auto" w:sz="4" w:space="0"/>
            </w:tcBorders>
            <w:vAlign w:val="center"/>
          </w:tcPr>
          <w:p>
            <w:pPr>
              <w:spacing w:line="240" w:lineRule="auto"/>
              <w:jc w:val="right"/>
              <w:rPr>
                <w:rFonts w:ascii="Times New Roman" w:hAnsi="Times New Roman" w:eastAsia="宋体"/>
                <w:sz w:val="18"/>
                <w:szCs w:val="18"/>
              </w:rPr>
            </w:pPr>
            <w:r>
              <w:rPr>
                <w:rFonts w:ascii="Times New Roman" w:hAnsi="Times New Roman" w:eastAsia="宋体"/>
                <w:sz w:val="18"/>
                <w:szCs w:val="18"/>
              </w:rPr>
              <w:t xml:space="preserve">49,091.65 </w:t>
            </w:r>
          </w:p>
        </w:tc>
        <w:tc>
          <w:tcPr>
            <w:tcW w:w="1552" w:type="dxa"/>
            <w:tcBorders>
              <w:top w:val="nil"/>
              <w:left w:val="nil"/>
              <w:bottom w:val="single" w:color="auto" w:sz="4" w:space="0"/>
              <w:right w:val="single" w:color="auto" w:sz="4" w:space="0"/>
            </w:tcBorders>
            <w:vAlign w:val="center"/>
          </w:tcPr>
          <w:p>
            <w:pPr>
              <w:spacing w:line="240" w:lineRule="auto"/>
              <w:jc w:val="right"/>
              <w:rPr>
                <w:rFonts w:ascii="Times New Roman" w:hAnsi="Times New Roman" w:eastAsia="宋体"/>
                <w:sz w:val="18"/>
                <w:szCs w:val="18"/>
              </w:rPr>
            </w:pPr>
            <w:r>
              <w:rPr>
                <w:rFonts w:ascii="Times New Roman" w:hAnsi="Times New Roman" w:eastAsia="宋体"/>
                <w:sz w:val="18"/>
                <w:szCs w:val="18"/>
              </w:rPr>
              <w:t xml:space="preserve">56,043.02 </w:t>
            </w:r>
          </w:p>
        </w:tc>
        <w:tc>
          <w:tcPr>
            <w:tcW w:w="1552" w:type="dxa"/>
            <w:tcBorders>
              <w:top w:val="nil"/>
              <w:left w:val="nil"/>
              <w:bottom w:val="single" w:color="auto" w:sz="4" w:space="0"/>
              <w:right w:val="single" w:color="auto" w:sz="4" w:space="0"/>
            </w:tcBorders>
            <w:vAlign w:val="center"/>
          </w:tcPr>
          <w:p>
            <w:pPr>
              <w:spacing w:line="240" w:lineRule="auto"/>
              <w:jc w:val="right"/>
              <w:rPr>
                <w:rFonts w:ascii="Times New Roman" w:hAnsi="Times New Roman" w:eastAsia="宋体"/>
                <w:sz w:val="18"/>
                <w:szCs w:val="18"/>
              </w:rPr>
            </w:pPr>
            <w:r>
              <w:rPr>
                <w:rFonts w:ascii="Times New Roman" w:hAnsi="Times New Roman" w:eastAsia="宋体"/>
                <w:sz w:val="18"/>
                <w:szCs w:val="18"/>
              </w:rPr>
              <w:t xml:space="preserve">58,267.93 </w:t>
            </w:r>
          </w:p>
        </w:tc>
        <w:tc>
          <w:tcPr>
            <w:tcW w:w="1710" w:type="dxa"/>
            <w:tcBorders>
              <w:top w:val="nil"/>
              <w:left w:val="nil"/>
              <w:bottom w:val="single" w:color="auto" w:sz="4" w:space="0"/>
              <w:right w:val="single" w:color="auto" w:sz="4" w:space="0"/>
            </w:tcBorders>
            <w:vAlign w:val="center"/>
          </w:tcPr>
          <w:p>
            <w:pPr>
              <w:spacing w:line="240" w:lineRule="auto"/>
              <w:jc w:val="right"/>
              <w:rPr>
                <w:rFonts w:ascii="Times New Roman" w:hAnsi="Times New Roman" w:eastAsia="宋体"/>
                <w:sz w:val="18"/>
                <w:szCs w:val="18"/>
              </w:rPr>
            </w:pPr>
            <w:r>
              <w:rPr>
                <w:rFonts w:ascii="Times New Roman" w:hAnsi="Times New Roman" w:eastAsia="宋体"/>
                <w:sz w:val="18"/>
                <w:szCs w:val="18"/>
              </w:rPr>
              <w:t xml:space="preserve">59,421.63 </w:t>
            </w:r>
          </w:p>
        </w:tc>
      </w:tr>
    </w:tbl>
    <w:p>
      <w:pPr>
        <w:spacing w:line="360" w:lineRule="auto"/>
        <w:ind w:firstLine="584" w:firstLineChars="200"/>
        <w:rPr>
          <w:rFonts w:ascii="Times New Roman" w:hAnsi="Times New Roman"/>
          <w:sz w:val="28"/>
          <w:szCs w:val="28"/>
        </w:rPr>
      </w:pPr>
    </w:p>
    <w:p>
      <w:pPr>
        <w:widowControl/>
        <w:spacing w:line="240" w:lineRule="auto"/>
        <w:jc w:val="left"/>
        <w:rPr>
          <w:rFonts w:ascii="Times New Roman" w:hAnsi="Times New Roman"/>
          <w:sz w:val="28"/>
          <w:szCs w:val="28"/>
        </w:rPr>
      </w:pPr>
    </w:p>
    <w:p>
      <w:pPr>
        <w:spacing w:line="360" w:lineRule="auto"/>
        <w:ind w:firstLine="638" w:firstLineChars="200"/>
        <w:outlineLvl w:val="0"/>
        <w:rPr>
          <w:rFonts w:ascii="Times New Roman" w:hAnsi="Times New Roman"/>
          <w:b/>
          <w:spacing w:val="-1"/>
          <w:sz w:val="32"/>
          <w:szCs w:val="32"/>
          <w:lang w:val="zh-TW" w:eastAsia="zh-TW"/>
        </w:rPr>
      </w:pPr>
      <w:r>
        <w:rPr>
          <w:rFonts w:ascii="Times New Roman" w:hAnsi="Times New Roman"/>
          <w:b/>
          <w:spacing w:val="-1"/>
          <w:sz w:val="32"/>
          <w:szCs w:val="32"/>
          <w:lang w:val="zh-TW" w:eastAsia="zh-TW"/>
        </w:rPr>
        <w:t>案例</w:t>
      </w:r>
      <w:r>
        <w:rPr>
          <w:rFonts w:hint="eastAsia" w:ascii="Times New Roman" w:hAnsi="Times New Roman"/>
          <w:b/>
          <w:spacing w:val="-1"/>
          <w:sz w:val="32"/>
          <w:szCs w:val="32"/>
          <w:lang w:val="zh-TW"/>
        </w:rPr>
        <w:t>七</w:t>
      </w:r>
      <w:r>
        <w:rPr>
          <w:rFonts w:ascii="Times New Roman" w:hAnsi="Times New Roman"/>
          <w:b/>
          <w:spacing w:val="-1"/>
          <w:sz w:val="32"/>
          <w:szCs w:val="32"/>
          <w:lang w:val="zh-TW"/>
        </w:rPr>
        <w:t>：</w:t>
      </w:r>
      <w:r>
        <w:rPr>
          <w:rFonts w:hint="eastAsia" w:ascii="Times New Roman" w:hAnsi="Times New Roman"/>
          <w:b/>
          <w:spacing w:val="-1"/>
          <w:sz w:val="32"/>
          <w:szCs w:val="32"/>
          <w:lang w:val="zh-TW"/>
        </w:rPr>
        <w:t>业务及管理费</w:t>
      </w:r>
      <w:r>
        <w:rPr>
          <w:rFonts w:ascii="Times New Roman" w:hAnsi="Times New Roman"/>
          <w:b/>
          <w:spacing w:val="-1"/>
          <w:sz w:val="32"/>
          <w:szCs w:val="32"/>
          <w:lang w:val="zh-TW" w:eastAsia="zh-TW"/>
        </w:rPr>
        <w:t>预测的合理性分析</w:t>
      </w:r>
    </w:p>
    <w:p>
      <w:pPr>
        <w:spacing w:line="360" w:lineRule="auto"/>
        <w:ind w:firstLine="584" w:firstLineChars="200"/>
        <w:rPr>
          <w:rFonts w:ascii="Times New Roman" w:hAnsi="Times New Roman"/>
          <w:sz w:val="28"/>
          <w:szCs w:val="28"/>
          <w:lang w:val="zh-CN"/>
        </w:rPr>
      </w:pPr>
      <w:r>
        <w:rPr>
          <w:rFonts w:ascii="Times New Roman" w:hAnsi="Times New Roman"/>
          <w:sz w:val="28"/>
          <w:szCs w:val="28"/>
          <w:lang w:val="zh-CN"/>
        </w:rPr>
        <w:t>xx证券公司业务及管理费包括人员工资薪金、场地及设备租赁费用、日常运营费用、固定资产折旧费、无形资产摊销、业务费用等</w:t>
      </w:r>
      <w:r>
        <w:rPr>
          <w:rFonts w:hint="eastAsia" w:ascii="Times New Roman" w:hAnsi="Times New Roman"/>
          <w:sz w:val="28"/>
          <w:szCs w:val="28"/>
          <w:lang w:val="zh-CN"/>
        </w:rPr>
        <w:t>。其中，人员工资薪金是可变成本，和绩效挂钩。其他费用支出较为刚性。</w:t>
      </w:r>
      <w:r>
        <w:rPr>
          <w:rFonts w:ascii="Times New Roman" w:hAnsi="Times New Roman"/>
          <w:sz w:val="28"/>
          <w:szCs w:val="28"/>
          <w:lang w:val="zh-CN"/>
        </w:rPr>
        <w:t>xx证券设立了资产负债配置决策小组，加强资金平衡分析研究，将成本收入比纳入分支机构和各业务单位绩效考核，提高了投入产出意识，深入组织开展“对标挖潜、增收节支”活动，强力推进营业部“降转退”等措施，全方位控制成本，提高产出。</w:t>
      </w:r>
    </w:p>
    <w:p>
      <w:pPr>
        <w:spacing w:line="360" w:lineRule="auto"/>
        <w:ind w:firstLine="584" w:firstLineChars="200"/>
        <w:rPr>
          <w:rFonts w:ascii="Times New Roman" w:hAnsi="Times New Roman"/>
          <w:sz w:val="28"/>
          <w:szCs w:val="28"/>
          <w:lang w:val="zh-CN"/>
        </w:rPr>
      </w:pPr>
      <w:r>
        <w:rPr>
          <w:rFonts w:ascii="Times New Roman" w:hAnsi="Times New Roman"/>
          <w:sz w:val="28"/>
          <w:szCs w:val="28"/>
          <w:lang w:val="zh-CN"/>
        </w:rPr>
        <w:t>参考xx证券公司历史年度管理费率水平，并结合企业控制成本的措施，预测未来年度业务及管理费。其中，员工成本与员工的招聘计划及平均工资相关；租金支出按全国房租增长率的平均水平确定增长率；业务拓展支出与业务扩张和主营收入存在一定程度的正相关，但会出于税收政策及费用节约的需求占营业收入的比重逐年有所下降直至行业平均水平，行政办公支出与人员增速存在一定程度的正相关，其他各项支出基本保持不变。</w:t>
      </w:r>
    </w:p>
    <w:p>
      <w:pPr>
        <w:spacing w:line="360" w:lineRule="auto"/>
        <w:ind w:firstLine="584" w:firstLineChars="200"/>
        <w:rPr>
          <w:rFonts w:ascii="Times New Roman" w:hAnsi="Times New Roman"/>
          <w:sz w:val="28"/>
          <w:szCs w:val="28"/>
          <w:lang w:val="zh-CN"/>
        </w:rPr>
      </w:pPr>
      <w:r>
        <w:rPr>
          <w:rFonts w:ascii="Times New Roman" w:hAnsi="Times New Roman"/>
          <w:sz w:val="28"/>
          <w:szCs w:val="28"/>
          <w:lang w:val="zh-CN"/>
        </w:rPr>
        <w:t>预测期业务及管理费占营业收入的比重如下表所示。</w:t>
      </w:r>
    </w:p>
    <w:tbl>
      <w:tblPr>
        <w:tblStyle w:val="2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61"/>
        <w:gridCol w:w="993"/>
        <w:gridCol w:w="992"/>
        <w:gridCol w:w="992"/>
        <w:gridCol w:w="992"/>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3561" w:type="dxa"/>
            <w:vAlign w:val="center"/>
          </w:tcPr>
          <w:p>
            <w:pPr>
              <w:widowControl/>
              <w:spacing w:line="240" w:lineRule="auto"/>
              <w:jc w:val="center"/>
              <w:rPr>
                <w:rFonts w:ascii="Times New Roman" w:hAnsi="Times New Roman" w:eastAsia="宋体"/>
                <w:spacing w:val="0"/>
                <w:kern w:val="0"/>
                <w:sz w:val="18"/>
                <w:szCs w:val="18"/>
              </w:rPr>
            </w:pPr>
            <w:r>
              <w:rPr>
                <w:rFonts w:ascii="Times New Roman" w:hAnsi="宋体" w:eastAsia="宋体"/>
                <w:spacing w:val="0"/>
                <w:kern w:val="0"/>
                <w:sz w:val="18"/>
                <w:szCs w:val="18"/>
              </w:rPr>
              <w:t>预测期</w:t>
            </w:r>
          </w:p>
        </w:tc>
        <w:tc>
          <w:tcPr>
            <w:tcW w:w="993" w:type="dxa"/>
            <w:vAlign w:val="center"/>
          </w:tcPr>
          <w:p>
            <w:pPr>
              <w:widowControl/>
              <w:spacing w:line="240" w:lineRule="auto"/>
              <w:jc w:val="center"/>
              <w:rPr>
                <w:rFonts w:ascii="Times New Roman" w:hAnsi="Times New Roman" w:eastAsia="宋体"/>
                <w:spacing w:val="0"/>
                <w:kern w:val="0"/>
                <w:sz w:val="18"/>
                <w:szCs w:val="18"/>
              </w:rPr>
            </w:pPr>
            <w:r>
              <w:rPr>
                <w:rFonts w:ascii="Times New Roman" w:hAnsi="Times New Roman" w:eastAsia="宋体"/>
                <w:spacing w:val="0"/>
                <w:kern w:val="0"/>
                <w:sz w:val="18"/>
                <w:szCs w:val="18"/>
              </w:rPr>
              <w:t>20x4</w:t>
            </w:r>
          </w:p>
        </w:tc>
        <w:tc>
          <w:tcPr>
            <w:tcW w:w="992" w:type="dxa"/>
            <w:vAlign w:val="center"/>
          </w:tcPr>
          <w:p>
            <w:pPr>
              <w:widowControl/>
              <w:spacing w:line="240" w:lineRule="auto"/>
              <w:jc w:val="center"/>
              <w:rPr>
                <w:rFonts w:ascii="Times New Roman" w:hAnsi="Times New Roman" w:eastAsia="宋体"/>
                <w:spacing w:val="0"/>
                <w:kern w:val="0"/>
                <w:sz w:val="18"/>
                <w:szCs w:val="18"/>
              </w:rPr>
            </w:pPr>
            <w:r>
              <w:rPr>
                <w:rFonts w:ascii="Times New Roman" w:hAnsi="Times New Roman" w:eastAsia="宋体"/>
                <w:spacing w:val="0"/>
                <w:kern w:val="0"/>
                <w:sz w:val="18"/>
                <w:szCs w:val="18"/>
              </w:rPr>
              <w:t>20x5</w:t>
            </w:r>
          </w:p>
        </w:tc>
        <w:tc>
          <w:tcPr>
            <w:tcW w:w="992" w:type="dxa"/>
            <w:vAlign w:val="center"/>
          </w:tcPr>
          <w:p>
            <w:pPr>
              <w:widowControl/>
              <w:spacing w:line="240" w:lineRule="auto"/>
              <w:jc w:val="center"/>
              <w:rPr>
                <w:rFonts w:ascii="Times New Roman" w:hAnsi="Times New Roman" w:eastAsia="宋体"/>
                <w:spacing w:val="0"/>
                <w:kern w:val="0"/>
                <w:sz w:val="18"/>
                <w:szCs w:val="18"/>
              </w:rPr>
            </w:pPr>
            <w:r>
              <w:rPr>
                <w:rFonts w:ascii="Times New Roman" w:hAnsi="Times New Roman" w:eastAsia="宋体"/>
                <w:spacing w:val="0"/>
                <w:kern w:val="0"/>
                <w:sz w:val="18"/>
                <w:szCs w:val="18"/>
              </w:rPr>
              <w:t>20x6</w:t>
            </w:r>
          </w:p>
        </w:tc>
        <w:tc>
          <w:tcPr>
            <w:tcW w:w="992" w:type="dxa"/>
            <w:vAlign w:val="center"/>
          </w:tcPr>
          <w:p>
            <w:pPr>
              <w:widowControl/>
              <w:spacing w:line="240" w:lineRule="auto"/>
              <w:jc w:val="center"/>
              <w:rPr>
                <w:rFonts w:ascii="Times New Roman" w:hAnsi="Times New Roman" w:eastAsia="宋体"/>
                <w:spacing w:val="0"/>
                <w:kern w:val="0"/>
                <w:sz w:val="18"/>
                <w:szCs w:val="18"/>
              </w:rPr>
            </w:pPr>
            <w:r>
              <w:rPr>
                <w:rFonts w:ascii="Times New Roman" w:hAnsi="Times New Roman" w:eastAsia="宋体"/>
                <w:spacing w:val="0"/>
                <w:kern w:val="0"/>
                <w:sz w:val="18"/>
                <w:szCs w:val="18"/>
              </w:rPr>
              <w:t>20x7</w:t>
            </w:r>
          </w:p>
        </w:tc>
        <w:tc>
          <w:tcPr>
            <w:tcW w:w="992" w:type="dxa"/>
            <w:vAlign w:val="center"/>
          </w:tcPr>
          <w:p>
            <w:pPr>
              <w:widowControl/>
              <w:spacing w:line="240" w:lineRule="auto"/>
              <w:jc w:val="center"/>
              <w:rPr>
                <w:rFonts w:ascii="Times New Roman" w:hAnsi="Times New Roman" w:eastAsia="宋体"/>
                <w:spacing w:val="0"/>
                <w:kern w:val="0"/>
                <w:sz w:val="18"/>
                <w:szCs w:val="18"/>
              </w:rPr>
            </w:pPr>
            <w:r>
              <w:rPr>
                <w:rFonts w:ascii="Times New Roman" w:hAnsi="Times New Roman" w:eastAsia="宋体"/>
                <w:spacing w:val="0"/>
                <w:kern w:val="0"/>
                <w:sz w:val="18"/>
                <w:szCs w:val="18"/>
              </w:rPr>
              <w:t>20x8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3561" w:type="dxa"/>
            <w:vAlign w:val="center"/>
          </w:tcPr>
          <w:p>
            <w:pPr>
              <w:widowControl/>
              <w:spacing w:line="240" w:lineRule="auto"/>
              <w:jc w:val="center"/>
              <w:rPr>
                <w:rFonts w:ascii="Times New Roman" w:hAnsi="Times New Roman" w:eastAsia="宋体"/>
                <w:spacing w:val="0"/>
                <w:kern w:val="0"/>
                <w:sz w:val="18"/>
                <w:szCs w:val="18"/>
              </w:rPr>
            </w:pPr>
            <w:r>
              <w:rPr>
                <w:rFonts w:ascii="Times New Roman" w:hAnsi="宋体" w:eastAsia="宋体"/>
                <w:spacing w:val="0"/>
                <w:kern w:val="0"/>
                <w:sz w:val="18"/>
                <w:szCs w:val="18"/>
              </w:rPr>
              <w:t>业务及管理费</w:t>
            </w:r>
            <w:r>
              <w:rPr>
                <w:rFonts w:ascii="Times New Roman" w:hAnsi="Times New Roman" w:eastAsia="宋体"/>
                <w:spacing w:val="0"/>
                <w:kern w:val="0"/>
                <w:sz w:val="18"/>
                <w:szCs w:val="18"/>
              </w:rPr>
              <w:t>/</w:t>
            </w:r>
            <w:r>
              <w:rPr>
                <w:rFonts w:ascii="Times New Roman" w:hAnsi="宋体" w:eastAsia="宋体"/>
                <w:spacing w:val="0"/>
                <w:kern w:val="0"/>
                <w:sz w:val="18"/>
                <w:szCs w:val="18"/>
              </w:rPr>
              <w:t>营业收入</w:t>
            </w:r>
          </w:p>
        </w:tc>
        <w:tc>
          <w:tcPr>
            <w:tcW w:w="993" w:type="dxa"/>
            <w:vAlign w:val="center"/>
          </w:tcPr>
          <w:p>
            <w:pPr>
              <w:spacing w:line="240" w:lineRule="auto"/>
              <w:jc w:val="center"/>
              <w:rPr>
                <w:rFonts w:ascii="Times New Roman" w:hAnsi="Times New Roman" w:eastAsia="宋体"/>
                <w:sz w:val="18"/>
                <w:szCs w:val="18"/>
              </w:rPr>
            </w:pPr>
            <w:r>
              <w:rPr>
                <w:rFonts w:ascii="Times New Roman" w:hAnsi="Times New Roman" w:eastAsia="宋体"/>
                <w:sz w:val="18"/>
                <w:szCs w:val="18"/>
              </w:rPr>
              <w:t>61%</w:t>
            </w:r>
          </w:p>
        </w:tc>
        <w:tc>
          <w:tcPr>
            <w:tcW w:w="992" w:type="dxa"/>
            <w:vAlign w:val="center"/>
          </w:tcPr>
          <w:p>
            <w:pPr>
              <w:spacing w:line="240" w:lineRule="auto"/>
              <w:jc w:val="center"/>
              <w:rPr>
                <w:rFonts w:ascii="Times New Roman" w:hAnsi="Times New Roman" w:eastAsia="宋体"/>
                <w:sz w:val="18"/>
                <w:szCs w:val="18"/>
              </w:rPr>
            </w:pPr>
            <w:r>
              <w:rPr>
                <w:rFonts w:ascii="Times New Roman" w:hAnsi="Times New Roman" w:eastAsia="宋体"/>
                <w:sz w:val="18"/>
                <w:szCs w:val="18"/>
              </w:rPr>
              <w:t>57%</w:t>
            </w:r>
          </w:p>
        </w:tc>
        <w:tc>
          <w:tcPr>
            <w:tcW w:w="992" w:type="dxa"/>
            <w:vAlign w:val="center"/>
          </w:tcPr>
          <w:p>
            <w:pPr>
              <w:spacing w:line="240" w:lineRule="auto"/>
              <w:jc w:val="center"/>
              <w:rPr>
                <w:rFonts w:ascii="Times New Roman" w:hAnsi="Times New Roman" w:eastAsia="宋体"/>
                <w:sz w:val="18"/>
                <w:szCs w:val="18"/>
              </w:rPr>
            </w:pPr>
            <w:r>
              <w:rPr>
                <w:rFonts w:ascii="Times New Roman" w:hAnsi="Times New Roman" w:eastAsia="宋体"/>
                <w:sz w:val="18"/>
                <w:szCs w:val="18"/>
              </w:rPr>
              <w:t>54%</w:t>
            </w:r>
          </w:p>
        </w:tc>
        <w:tc>
          <w:tcPr>
            <w:tcW w:w="992" w:type="dxa"/>
            <w:vAlign w:val="center"/>
          </w:tcPr>
          <w:p>
            <w:pPr>
              <w:spacing w:line="240" w:lineRule="auto"/>
              <w:jc w:val="center"/>
              <w:rPr>
                <w:rFonts w:ascii="Times New Roman" w:hAnsi="Times New Roman" w:eastAsia="宋体"/>
                <w:sz w:val="18"/>
                <w:szCs w:val="18"/>
              </w:rPr>
            </w:pPr>
            <w:r>
              <w:rPr>
                <w:rFonts w:ascii="Times New Roman" w:hAnsi="Times New Roman" w:eastAsia="宋体"/>
                <w:sz w:val="18"/>
                <w:szCs w:val="18"/>
              </w:rPr>
              <w:t>51%</w:t>
            </w:r>
          </w:p>
        </w:tc>
        <w:tc>
          <w:tcPr>
            <w:tcW w:w="992" w:type="dxa"/>
            <w:vAlign w:val="center"/>
          </w:tcPr>
          <w:p>
            <w:pPr>
              <w:spacing w:line="240" w:lineRule="auto"/>
              <w:jc w:val="center"/>
              <w:rPr>
                <w:rFonts w:ascii="Times New Roman" w:hAnsi="Times New Roman" w:eastAsia="宋体"/>
                <w:sz w:val="18"/>
                <w:szCs w:val="18"/>
              </w:rPr>
            </w:pPr>
            <w:r>
              <w:rPr>
                <w:rFonts w:ascii="Times New Roman" w:hAnsi="Times New Roman" w:eastAsia="宋体"/>
                <w:sz w:val="18"/>
                <w:szCs w:val="18"/>
              </w:rPr>
              <w:t>49%</w:t>
            </w:r>
          </w:p>
        </w:tc>
      </w:tr>
    </w:tbl>
    <w:p>
      <w:pPr>
        <w:spacing w:line="360" w:lineRule="auto"/>
        <w:ind w:firstLine="584" w:firstLineChars="200"/>
        <w:rPr>
          <w:rFonts w:ascii="Times New Roman" w:hAnsi="Times New Roman"/>
          <w:sz w:val="28"/>
          <w:szCs w:val="28"/>
          <w:lang w:val="zh-CN"/>
        </w:rPr>
      </w:pPr>
    </w:p>
    <w:p>
      <w:pPr>
        <w:spacing w:line="360" w:lineRule="auto"/>
        <w:ind w:firstLine="584" w:firstLineChars="200"/>
        <w:rPr>
          <w:rFonts w:ascii="Times New Roman" w:hAnsi="Times New Roman"/>
          <w:sz w:val="28"/>
          <w:szCs w:val="28"/>
          <w:lang w:val="zh-CN"/>
        </w:rPr>
      </w:pPr>
      <w:r>
        <w:rPr>
          <w:rFonts w:ascii="Times New Roman" w:hAnsi="Times New Roman"/>
          <w:sz w:val="28"/>
          <w:szCs w:val="28"/>
          <w:lang w:val="zh-CN"/>
        </w:rPr>
        <w:t>在预测期内，由于业务规模的扩张，营业收入增长较快，而费用节约效应明显，费用占收入的比重在预测期会平稳下降，在预测期末达到较稳定的水平。</w:t>
      </w:r>
    </w:p>
    <w:p>
      <w:pPr>
        <w:spacing w:line="360" w:lineRule="auto"/>
        <w:ind w:firstLine="584" w:firstLineChars="200"/>
        <w:rPr>
          <w:rFonts w:ascii="Times New Roman" w:hAnsi="Times New Roman"/>
          <w:sz w:val="28"/>
          <w:szCs w:val="28"/>
          <w:lang w:val="zh-CN"/>
        </w:rPr>
      </w:pPr>
      <w:r>
        <w:rPr>
          <w:rFonts w:ascii="Times New Roman" w:hAnsi="Times New Roman"/>
          <w:sz w:val="28"/>
          <w:szCs w:val="28"/>
          <w:lang w:val="zh-CN"/>
        </w:rPr>
        <w:t>一般认为，上市公司是同行业内相对处于成熟期的企业，其财务指标一定程度代表行业水平。选取</w:t>
      </w:r>
      <w:r>
        <w:rPr>
          <w:rFonts w:hint="eastAsia" w:ascii="Times New Roman" w:hAnsi="Times New Roman"/>
          <w:sz w:val="28"/>
          <w:szCs w:val="28"/>
          <w:lang w:val="zh-CN"/>
        </w:rPr>
        <w:t>20y8-20x3年证券行业</w:t>
      </w:r>
      <w:r>
        <w:rPr>
          <w:rFonts w:ascii="Times New Roman" w:hAnsi="Times New Roman"/>
          <w:sz w:val="28"/>
          <w:szCs w:val="28"/>
          <w:lang w:val="zh-CN"/>
        </w:rPr>
        <w:t>上市公司</w:t>
      </w:r>
      <w:r>
        <w:rPr>
          <w:rFonts w:hint="eastAsia" w:ascii="Times New Roman" w:hAnsi="Times New Roman"/>
          <w:sz w:val="28"/>
          <w:szCs w:val="28"/>
          <w:lang w:val="zh-CN"/>
        </w:rPr>
        <w:t>管理</w:t>
      </w:r>
      <w:r>
        <w:rPr>
          <w:rFonts w:ascii="Times New Roman" w:hAnsi="Times New Roman"/>
          <w:sz w:val="28"/>
          <w:szCs w:val="28"/>
          <w:lang w:val="zh-CN"/>
        </w:rPr>
        <w:t>费用/营业收入指标对营业费用预测的合理性进行验证。</w:t>
      </w:r>
    </w:p>
    <w:p>
      <w:pPr>
        <w:spacing w:line="360" w:lineRule="auto"/>
        <w:ind w:firstLine="584" w:firstLineChars="200"/>
        <w:rPr>
          <w:rFonts w:ascii="Times New Roman" w:hAnsi="Times New Roman"/>
          <w:sz w:val="28"/>
          <w:szCs w:val="28"/>
          <w:lang w:val="zh-CN"/>
        </w:rPr>
      </w:pPr>
    </w:p>
    <w:p>
      <w:pPr>
        <w:spacing w:line="360" w:lineRule="auto"/>
        <w:jc w:val="center"/>
        <w:rPr>
          <w:rFonts w:ascii="黑体" w:hAnsi="黑体" w:eastAsia="黑体"/>
          <w:sz w:val="24"/>
          <w:lang w:val="zh-CN"/>
        </w:rPr>
      </w:pPr>
      <w:r>
        <w:rPr>
          <w:rFonts w:hint="eastAsia" w:ascii="黑体" w:hAnsi="黑体" w:eastAsia="黑体"/>
          <w:sz w:val="24"/>
          <w:lang w:val="zh-CN"/>
        </w:rPr>
        <w:t>20y8-20x3年证券行业上市公司管理费用占营业收入比重</w:t>
      </w:r>
    </w:p>
    <w:tbl>
      <w:tblPr>
        <w:tblStyle w:val="27"/>
        <w:tblW w:w="85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60"/>
        <w:gridCol w:w="960"/>
        <w:gridCol w:w="1080"/>
        <w:gridCol w:w="1080"/>
        <w:gridCol w:w="1080"/>
        <w:gridCol w:w="1080"/>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6" w:hRule="atLeast"/>
          <w:tblHeader/>
        </w:trPr>
        <w:tc>
          <w:tcPr>
            <w:tcW w:w="106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Times New Roman" w:hAnsi="Times New Roman" w:eastAsia="宋体"/>
                <w:spacing w:val="0"/>
                <w:kern w:val="0"/>
                <w:sz w:val="18"/>
                <w:szCs w:val="18"/>
              </w:rPr>
            </w:pPr>
            <w:r>
              <w:rPr>
                <w:rFonts w:ascii="Times New Roman" w:hAnsi="宋体" w:eastAsia="宋体"/>
                <w:spacing w:val="0"/>
                <w:kern w:val="0"/>
                <w:sz w:val="18"/>
                <w:szCs w:val="18"/>
              </w:rPr>
              <w:t>证券代码</w:t>
            </w:r>
          </w:p>
        </w:tc>
        <w:tc>
          <w:tcPr>
            <w:tcW w:w="960"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Times New Roman" w:hAnsi="Times New Roman" w:eastAsia="宋体"/>
                <w:spacing w:val="0"/>
                <w:kern w:val="0"/>
                <w:sz w:val="18"/>
                <w:szCs w:val="18"/>
              </w:rPr>
            </w:pPr>
            <w:r>
              <w:rPr>
                <w:rFonts w:ascii="Times New Roman" w:hAnsi="宋体" w:eastAsia="宋体"/>
                <w:spacing w:val="0"/>
                <w:kern w:val="0"/>
                <w:sz w:val="18"/>
                <w:szCs w:val="18"/>
              </w:rPr>
              <w:t>证券简称</w:t>
            </w:r>
          </w:p>
        </w:tc>
        <w:tc>
          <w:tcPr>
            <w:tcW w:w="1080"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Times New Roman" w:hAnsi="Times New Roman" w:eastAsia="宋体"/>
                <w:spacing w:val="0"/>
                <w:kern w:val="0"/>
                <w:sz w:val="18"/>
                <w:szCs w:val="18"/>
              </w:rPr>
            </w:pPr>
            <w:r>
              <w:rPr>
                <w:rFonts w:ascii="Times New Roman" w:hAnsi="Times New Roman" w:eastAsia="宋体"/>
                <w:spacing w:val="0"/>
                <w:kern w:val="0"/>
                <w:sz w:val="18"/>
                <w:szCs w:val="18"/>
              </w:rPr>
              <w:t>20</w:t>
            </w:r>
            <w:r>
              <w:rPr>
                <w:rFonts w:hint="eastAsia" w:ascii="Times New Roman" w:hAnsi="Times New Roman" w:eastAsia="宋体"/>
                <w:spacing w:val="0"/>
                <w:kern w:val="0"/>
                <w:sz w:val="18"/>
                <w:szCs w:val="18"/>
              </w:rPr>
              <w:t>y</w:t>
            </w:r>
            <w:r>
              <w:rPr>
                <w:rFonts w:ascii="Times New Roman" w:hAnsi="Times New Roman" w:eastAsia="宋体"/>
                <w:spacing w:val="0"/>
                <w:kern w:val="0"/>
                <w:sz w:val="18"/>
                <w:szCs w:val="18"/>
              </w:rPr>
              <w:t>8</w:t>
            </w:r>
          </w:p>
        </w:tc>
        <w:tc>
          <w:tcPr>
            <w:tcW w:w="1080"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Times New Roman" w:hAnsi="Times New Roman" w:eastAsia="宋体"/>
                <w:spacing w:val="0"/>
                <w:kern w:val="0"/>
                <w:sz w:val="18"/>
                <w:szCs w:val="18"/>
              </w:rPr>
            </w:pPr>
            <w:r>
              <w:rPr>
                <w:rFonts w:ascii="Times New Roman" w:hAnsi="Times New Roman" w:eastAsia="宋体"/>
                <w:spacing w:val="0"/>
                <w:kern w:val="0"/>
                <w:sz w:val="18"/>
                <w:szCs w:val="18"/>
              </w:rPr>
              <w:t>20</w:t>
            </w:r>
            <w:r>
              <w:rPr>
                <w:rFonts w:hint="eastAsia" w:ascii="Times New Roman" w:hAnsi="Times New Roman" w:eastAsia="宋体"/>
                <w:spacing w:val="0"/>
                <w:kern w:val="0"/>
                <w:sz w:val="18"/>
                <w:szCs w:val="18"/>
              </w:rPr>
              <w:t>y</w:t>
            </w:r>
            <w:r>
              <w:rPr>
                <w:rFonts w:ascii="Times New Roman" w:hAnsi="Times New Roman" w:eastAsia="宋体"/>
                <w:spacing w:val="0"/>
                <w:kern w:val="0"/>
                <w:sz w:val="18"/>
                <w:szCs w:val="18"/>
              </w:rPr>
              <w:t>9</w:t>
            </w:r>
          </w:p>
        </w:tc>
        <w:tc>
          <w:tcPr>
            <w:tcW w:w="1080"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Times New Roman" w:hAnsi="Times New Roman" w:eastAsia="宋体"/>
                <w:spacing w:val="0"/>
                <w:kern w:val="0"/>
                <w:sz w:val="18"/>
                <w:szCs w:val="18"/>
              </w:rPr>
            </w:pPr>
            <w:r>
              <w:rPr>
                <w:rFonts w:ascii="Times New Roman" w:hAnsi="Times New Roman" w:eastAsia="宋体"/>
                <w:spacing w:val="0"/>
                <w:kern w:val="0"/>
                <w:sz w:val="18"/>
                <w:szCs w:val="18"/>
              </w:rPr>
              <w:t>20</w:t>
            </w:r>
            <w:r>
              <w:rPr>
                <w:rFonts w:hint="eastAsia" w:ascii="Times New Roman" w:hAnsi="Times New Roman" w:eastAsia="宋体"/>
                <w:spacing w:val="0"/>
                <w:kern w:val="0"/>
                <w:sz w:val="18"/>
                <w:szCs w:val="18"/>
              </w:rPr>
              <w:t>x</w:t>
            </w:r>
            <w:r>
              <w:rPr>
                <w:rFonts w:ascii="Times New Roman" w:hAnsi="Times New Roman" w:eastAsia="宋体"/>
                <w:spacing w:val="0"/>
                <w:kern w:val="0"/>
                <w:sz w:val="18"/>
                <w:szCs w:val="18"/>
              </w:rPr>
              <w:t>0</w:t>
            </w:r>
          </w:p>
        </w:tc>
        <w:tc>
          <w:tcPr>
            <w:tcW w:w="1080"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Times New Roman" w:hAnsi="Times New Roman" w:eastAsia="宋体"/>
                <w:spacing w:val="0"/>
                <w:kern w:val="0"/>
                <w:sz w:val="18"/>
                <w:szCs w:val="18"/>
              </w:rPr>
            </w:pPr>
            <w:r>
              <w:rPr>
                <w:rFonts w:ascii="Times New Roman" w:hAnsi="Times New Roman" w:eastAsia="宋体"/>
                <w:spacing w:val="0"/>
                <w:kern w:val="0"/>
                <w:sz w:val="18"/>
                <w:szCs w:val="18"/>
              </w:rPr>
              <w:t>20</w:t>
            </w:r>
            <w:r>
              <w:rPr>
                <w:rFonts w:hint="eastAsia" w:ascii="Times New Roman" w:hAnsi="Times New Roman" w:eastAsia="宋体"/>
                <w:spacing w:val="0"/>
                <w:kern w:val="0"/>
                <w:sz w:val="18"/>
                <w:szCs w:val="18"/>
              </w:rPr>
              <w:t>x</w:t>
            </w:r>
            <w:r>
              <w:rPr>
                <w:rFonts w:ascii="Times New Roman" w:hAnsi="Times New Roman" w:eastAsia="宋体"/>
                <w:spacing w:val="0"/>
                <w:kern w:val="0"/>
                <w:sz w:val="18"/>
                <w:szCs w:val="18"/>
              </w:rPr>
              <w:t>1</w:t>
            </w:r>
          </w:p>
        </w:tc>
        <w:tc>
          <w:tcPr>
            <w:tcW w:w="1080"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Times New Roman" w:hAnsi="Times New Roman" w:eastAsia="宋体"/>
                <w:spacing w:val="0"/>
                <w:kern w:val="0"/>
                <w:sz w:val="18"/>
                <w:szCs w:val="18"/>
              </w:rPr>
            </w:pPr>
            <w:r>
              <w:rPr>
                <w:rFonts w:ascii="Times New Roman" w:hAnsi="Times New Roman" w:eastAsia="宋体"/>
                <w:spacing w:val="0"/>
                <w:kern w:val="0"/>
                <w:sz w:val="18"/>
                <w:szCs w:val="18"/>
              </w:rPr>
              <w:t>20</w:t>
            </w:r>
            <w:r>
              <w:rPr>
                <w:rFonts w:hint="eastAsia" w:ascii="Times New Roman" w:hAnsi="Times New Roman" w:eastAsia="宋体"/>
                <w:spacing w:val="0"/>
                <w:kern w:val="0"/>
                <w:sz w:val="18"/>
                <w:szCs w:val="18"/>
              </w:rPr>
              <w:t>x</w:t>
            </w:r>
            <w:r>
              <w:rPr>
                <w:rFonts w:ascii="Times New Roman" w:hAnsi="Times New Roman" w:eastAsia="宋体"/>
                <w:spacing w:val="0"/>
                <w:kern w:val="0"/>
                <w:sz w:val="18"/>
                <w:szCs w:val="18"/>
              </w:rPr>
              <w:t>2</w:t>
            </w:r>
          </w:p>
        </w:tc>
        <w:tc>
          <w:tcPr>
            <w:tcW w:w="1080"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Times New Roman" w:hAnsi="Times New Roman" w:eastAsia="宋体"/>
                <w:spacing w:val="0"/>
                <w:kern w:val="0"/>
                <w:sz w:val="18"/>
                <w:szCs w:val="18"/>
              </w:rPr>
            </w:pPr>
            <w:r>
              <w:rPr>
                <w:rFonts w:ascii="Times New Roman" w:hAnsi="Times New Roman" w:eastAsia="宋体"/>
                <w:spacing w:val="0"/>
                <w:kern w:val="0"/>
                <w:sz w:val="18"/>
                <w:szCs w:val="18"/>
              </w:rPr>
              <w:t>20</w:t>
            </w:r>
            <w:r>
              <w:rPr>
                <w:rFonts w:hint="eastAsia" w:ascii="Times New Roman" w:hAnsi="Times New Roman" w:eastAsia="宋体"/>
                <w:spacing w:val="0"/>
                <w:kern w:val="0"/>
                <w:sz w:val="18"/>
                <w:szCs w:val="18"/>
              </w:rPr>
              <w:t>x</w:t>
            </w:r>
            <w:r>
              <w:rPr>
                <w:rFonts w:ascii="Times New Roman" w:hAnsi="Times New Roman" w:eastAsia="宋体"/>
                <w:spacing w:val="0"/>
                <w:kern w:val="0"/>
                <w:sz w:val="18"/>
                <w:szCs w:val="18"/>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060" w:type="dxa"/>
            <w:tcBorders>
              <w:top w:val="nil"/>
              <w:left w:val="single" w:color="auto" w:sz="4" w:space="0"/>
              <w:bottom w:val="single" w:color="auto" w:sz="4" w:space="0"/>
              <w:right w:val="single" w:color="auto" w:sz="4" w:space="0"/>
            </w:tcBorders>
            <w:vAlign w:val="center"/>
          </w:tcPr>
          <w:p>
            <w:pPr>
              <w:widowControl/>
              <w:spacing w:line="240" w:lineRule="auto"/>
              <w:jc w:val="center"/>
              <w:rPr>
                <w:rFonts w:ascii="Times New Roman" w:hAnsi="Times New Roman" w:eastAsia="宋体"/>
                <w:spacing w:val="0"/>
                <w:kern w:val="0"/>
                <w:sz w:val="18"/>
                <w:szCs w:val="18"/>
              </w:rPr>
            </w:pPr>
            <w:r>
              <w:rPr>
                <w:rFonts w:ascii="Times New Roman" w:hAnsi="Times New Roman" w:eastAsia="宋体"/>
                <w:spacing w:val="0"/>
                <w:kern w:val="0"/>
                <w:sz w:val="18"/>
                <w:szCs w:val="18"/>
              </w:rPr>
              <w:t>000166.SZ</w:t>
            </w:r>
          </w:p>
        </w:tc>
        <w:tc>
          <w:tcPr>
            <w:tcW w:w="960" w:type="dxa"/>
            <w:tcBorders>
              <w:top w:val="nil"/>
              <w:left w:val="nil"/>
              <w:bottom w:val="single" w:color="auto" w:sz="4" w:space="0"/>
              <w:right w:val="single" w:color="auto" w:sz="4" w:space="0"/>
            </w:tcBorders>
            <w:vAlign w:val="center"/>
          </w:tcPr>
          <w:p>
            <w:pPr>
              <w:widowControl/>
              <w:spacing w:line="240" w:lineRule="auto"/>
              <w:jc w:val="center"/>
              <w:rPr>
                <w:rFonts w:ascii="Times New Roman" w:hAnsi="Times New Roman" w:eastAsia="宋体"/>
                <w:spacing w:val="0"/>
                <w:kern w:val="0"/>
                <w:sz w:val="18"/>
                <w:szCs w:val="18"/>
              </w:rPr>
            </w:pPr>
            <w:r>
              <w:rPr>
                <w:rFonts w:ascii="Times New Roman" w:hAnsi="宋体" w:eastAsia="宋体"/>
                <w:spacing w:val="0"/>
                <w:kern w:val="0"/>
                <w:sz w:val="18"/>
                <w:szCs w:val="18"/>
              </w:rPr>
              <w:t>申万宏源</w:t>
            </w:r>
          </w:p>
        </w:tc>
        <w:tc>
          <w:tcPr>
            <w:tcW w:w="1080"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37.23%</w:t>
            </w:r>
          </w:p>
        </w:tc>
        <w:tc>
          <w:tcPr>
            <w:tcW w:w="1080"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28.29%</w:t>
            </w:r>
          </w:p>
        </w:tc>
        <w:tc>
          <w:tcPr>
            <w:tcW w:w="1080"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36.44%</w:t>
            </w:r>
          </w:p>
        </w:tc>
        <w:tc>
          <w:tcPr>
            <w:tcW w:w="1080"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44.82%</w:t>
            </w:r>
          </w:p>
        </w:tc>
        <w:tc>
          <w:tcPr>
            <w:tcW w:w="1080"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50.26%</w:t>
            </w:r>
          </w:p>
        </w:tc>
        <w:tc>
          <w:tcPr>
            <w:tcW w:w="1080"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49.04%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060" w:type="dxa"/>
            <w:tcBorders>
              <w:top w:val="nil"/>
              <w:left w:val="single" w:color="auto" w:sz="4" w:space="0"/>
              <w:bottom w:val="single" w:color="auto" w:sz="4" w:space="0"/>
              <w:right w:val="single" w:color="auto" w:sz="4" w:space="0"/>
            </w:tcBorders>
            <w:vAlign w:val="center"/>
          </w:tcPr>
          <w:p>
            <w:pPr>
              <w:widowControl/>
              <w:spacing w:line="240" w:lineRule="auto"/>
              <w:jc w:val="center"/>
              <w:rPr>
                <w:rFonts w:ascii="Times New Roman" w:hAnsi="Times New Roman" w:eastAsia="宋体"/>
                <w:spacing w:val="0"/>
                <w:kern w:val="0"/>
                <w:sz w:val="18"/>
                <w:szCs w:val="18"/>
              </w:rPr>
            </w:pPr>
            <w:r>
              <w:rPr>
                <w:rFonts w:ascii="Times New Roman" w:hAnsi="Times New Roman" w:eastAsia="宋体"/>
                <w:spacing w:val="0"/>
                <w:kern w:val="0"/>
                <w:sz w:val="18"/>
                <w:szCs w:val="18"/>
              </w:rPr>
              <w:t>000686.SZ</w:t>
            </w:r>
          </w:p>
        </w:tc>
        <w:tc>
          <w:tcPr>
            <w:tcW w:w="960" w:type="dxa"/>
            <w:tcBorders>
              <w:top w:val="nil"/>
              <w:left w:val="nil"/>
              <w:bottom w:val="single" w:color="auto" w:sz="4" w:space="0"/>
              <w:right w:val="single" w:color="auto" w:sz="4" w:space="0"/>
            </w:tcBorders>
            <w:vAlign w:val="center"/>
          </w:tcPr>
          <w:p>
            <w:pPr>
              <w:widowControl/>
              <w:spacing w:line="240" w:lineRule="auto"/>
              <w:jc w:val="center"/>
              <w:rPr>
                <w:rFonts w:ascii="Times New Roman" w:hAnsi="Times New Roman" w:eastAsia="宋体"/>
                <w:spacing w:val="0"/>
                <w:kern w:val="0"/>
                <w:sz w:val="18"/>
                <w:szCs w:val="18"/>
              </w:rPr>
            </w:pPr>
            <w:r>
              <w:rPr>
                <w:rFonts w:ascii="Times New Roman" w:hAnsi="宋体" w:eastAsia="宋体"/>
                <w:spacing w:val="0"/>
                <w:kern w:val="0"/>
                <w:sz w:val="18"/>
                <w:szCs w:val="18"/>
              </w:rPr>
              <w:t>东北证券</w:t>
            </w:r>
          </w:p>
        </w:tc>
        <w:tc>
          <w:tcPr>
            <w:tcW w:w="1080"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47.71%</w:t>
            </w:r>
          </w:p>
        </w:tc>
        <w:tc>
          <w:tcPr>
            <w:tcW w:w="1080"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33.80%</w:t>
            </w:r>
          </w:p>
        </w:tc>
        <w:tc>
          <w:tcPr>
            <w:tcW w:w="1080"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52.58%</w:t>
            </w:r>
          </w:p>
        </w:tc>
        <w:tc>
          <w:tcPr>
            <w:tcW w:w="1080"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119.37%</w:t>
            </w:r>
          </w:p>
        </w:tc>
        <w:tc>
          <w:tcPr>
            <w:tcW w:w="1080"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83.49%</w:t>
            </w:r>
          </w:p>
        </w:tc>
        <w:tc>
          <w:tcPr>
            <w:tcW w:w="1080"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57.03%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060" w:type="dxa"/>
            <w:tcBorders>
              <w:top w:val="nil"/>
              <w:left w:val="single" w:color="auto" w:sz="4" w:space="0"/>
              <w:bottom w:val="single" w:color="auto" w:sz="4" w:space="0"/>
              <w:right w:val="single" w:color="auto" w:sz="4" w:space="0"/>
            </w:tcBorders>
            <w:vAlign w:val="center"/>
          </w:tcPr>
          <w:p>
            <w:pPr>
              <w:widowControl/>
              <w:spacing w:line="240" w:lineRule="auto"/>
              <w:jc w:val="center"/>
              <w:rPr>
                <w:rFonts w:ascii="Times New Roman" w:hAnsi="Times New Roman" w:eastAsia="宋体"/>
                <w:spacing w:val="0"/>
                <w:kern w:val="0"/>
                <w:sz w:val="18"/>
                <w:szCs w:val="18"/>
              </w:rPr>
            </w:pPr>
            <w:r>
              <w:rPr>
                <w:rFonts w:ascii="Times New Roman" w:hAnsi="Times New Roman" w:eastAsia="宋体"/>
                <w:spacing w:val="0"/>
                <w:kern w:val="0"/>
                <w:sz w:val="18"/>
                <w:szCs w:val="18"/>
              </w:rPr>
              <w:t>000728.SZ</w:t>
            </w:r>
          </w:p>
        </w:tc>
        <w:tc>
          <w:tcPr>
            <w:tcW w:w="960" w:type="dxa"/>
            <w:tcBorders>
              <w:top w:val="nil"/>
              <w:left w:val="nil"/>
              <w:bottom w:val="single" w:color="auto" w:sz="4" w:space="0"/>
              <w:right w:val="single" w:color="auto" w:sz="4" w:space="0"/>
            </w:tcBorders>
            <w:vAlign w:val="center"/>
          </w:tcPr>
          <w:p>
            <w:pPr>
              <w:widowControl/>
              <w:spacing w:line="240" w:lineRule="auto"/>
              <w:jc w:val="center"/>
              <w:rPr>
                <w:rFonts w:ascii="Times New Roman" w:hAnsi="Times New Roman" w:eastAsia="宋体"/>
                <w:spacing w:val="0"/>
                <w:kern w:val="0"/>
                <w:sz w:val="18"/>
                <w:szCs w:val="18"/>
              </w:rPr>
            </w:pPr>
            <w:r>
              <w:rPr>
                <w:rFonts w:ascii="Times New Roman" w:hAnsi="宋体" w:eastAsia="宋体"/>
                <w:spacing w:val="0"/>
                <w:kern w:val="0"/>
                <w:sz w:val="18"/>
                <w:szCs w:val="18"/>
              </w:rPr>
              <w:t>国元证券</w:t>
            </w:r>
          </w:p>
        </w:tc>
        <w:tc>
          <w:tcPr>
            <w:tcW w:w="1080"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43.28%</w:t>
            </w:r>
          </w:p>
        </w:tc>
        <w:tc>
          <w:tcPr>
            <w:tcW w:w="1080"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33.71%</w:t>
            </w:r>
          </w:p>
        </w:tc>
        <w:tc>
          <w:tcPr>
            <w:tcW w:w="1080"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40.25%</w:t>
            </w:r>
          </w:p>
        </w:tc>
        <w:tc>
          <w:tcPr>
            <w:tcW w:w="1080"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51.73%</w:t>
            </w:r>
          </w:p>
        </w:tc>
        <w:tc>
          <w:tcPr>
            <w:tcW w:w="1080"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63.70%</w:t>
            </w:r>
          </w:p>
        </w:tc>
        <w:tc>
          <w:tcPr>
            <w:tcW w:w="1080"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57.80%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060" w:type="dxa"/>
            <w:tcBorders>
              <w:top w:val="nil"/>
              <w:left w:val="single" w:color="auto" w:sz="4" w:space="0"/>
              <w:bottom w:val="single" w:color="auto" w:sz="4" w:space="0"/>
              <w:right w:val="single" w:color="auto" w:sz="4" w:space="0"/>
            </w:tcBorders>
            <w:vAlign w:val="center"/>
          </w:tcPr>
          <w:p>
            <w:pPr>
              <w:widowControl/>
              <w:spacing w:line="240" w:lineRule="auto"/>
              <w:jc w:val="center"/>
              <w:rPr>
                <w:rFonts w:ascii="Times New Roman" w:hAnsi="Times New Roman" w:eastAsia="宋体"/>
                <w:spacing w:val="0"/>
                <w:kern w:val="0"/>
                <w:sz w:val="18"/>
                <w:szCs w:val="18"/>
              </w:rPr>
            </w:pPr>
            <w:r>
              <w:rPr>
                <w:rFonts w:ascii="Times New Roman" w:hAnsi="Times New Roman" w:eastAsia="宋体"/>
                <w:spacing w:val="0"/>
                <w:kern w:val="0"/>
                <w:sz w:val="18"/>
                <w:szCs w:val="18"/>
              </w:rPr>
              <w:t>000750.SZ</w:t>
            </w:r>
          </w:p>
        </w:tc>
        <w:tc>
          <w:tcPr>
            <w:tcW w:w="960" w:type="dxa"/>
            <w:tcBorders>
              <w:top w:val="nil"/>
              <w:left w:val="nil"/>
              <w:bottom w:val="single" w:color="auto" w:sz="4" w:space="0"/>
              <w:right w:val="single" w:color="auto" w:sz="4" w:space="0"/>
            </w:tcBorders>
            <w:vAlign w:val="center"/>
          </w:tcPr>
          <w:p>
            <w:pPr>
              <w:widowControl/>
              <w:spacing w:line="240" w:lineRule="auto"/>
              <w:jc w:val="center"/>
              <w:rPr>
                <w:rFonts w:ascii="Times New Roman" w:hAnsi="Times New Roman" w:eastAsia="宋体"/>
                <w:spacing w:val="0"/>
                <w:kern w:val="0"/>
                <w:sz w:val="18"/>
                <w:szCs w:val="18"/>
              </w:rPr>
            </w:pPr>
            <w:r>
              <w:rPr>
                <w:rFonts w:ascii="Times New Roman" w:hAnsi="宋体" w:eastAsia="宋体"/>
                <w:spacing w:val="0"/>
                <w:kern w:val="0"/>
                <w:sz w:val="18"/>
                <w:szCs w:val="18"/>
              </w:rPr>
              <w:t>国海证券</w:t>
            </w:r>
          </w:p>
        </w:tc>
        <w:tc>
          <w:tcPr>
            <w:tcW w:w="1080"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120.65%</w:t>
            </w:r>
          </w:p>
        </w:tc>
        <w:tc>
          <w:tcPr>
            <w:tcW w:w="1080"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41.07%</w:t>
            </w:r>
          </w:p>
        </w:tc>
        <w:tc>
          <w:tcPr>
            <w:tcW w:w="1080"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64.76%</w:t>
            </w:r>
          </w:p>
        </w:tc>
        <w:tc>
          <w:tcPr>
            <w:tcW w:w="1080"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83.91%</w:t>
            </w:r>
          </w:p>
        </w:tc>
        <w:tc>
          <w:tcPr>
            <w:tcW w:w="1080"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81.32%</w:t>
            </w:r>
          </w:p>
        </w:tc>
        <w:tc>
          <w:tcPr>
            <w:tcW w:w="1080"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65.65%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060" w:type="dxa"/>
            <w:tcBorders>
              <w:top w:val="nil"/>
              <w:left w:val="single" w:color="auto" w:sz="4" w:space="0"/>
              <w:bottom w:val="single" w:color="auto" w:sz="4" w:space="0"/>
              <w:right w:val="single" w:color="auto" w:sz="4" w:space="0"/>
            </w:tcBorders>
            <w:vAlign w:val="center"/>
          </w:tcPr>
          <w:p>
            <w:pPr>
              <w:widowControl/>
              <w:spacing w:line="240" w:lineRule="auto"/>
              <w:jc w:val="center"/>
              <w:rPr>
                <w:rFonts w:ascii="Times New Roman" w:hAnsi="Times New Roman" w:eastAsia="宋体"/>
                <w:spacing w:val="0"/>
                <w:kern w:val="0"/>
                <w:sz w:val="18"/>
                <w:szCs w:val="18"/>
              </w:rPr>
            </w:pPr>
            <w:r>
              <w:rPr>
                <w:rFonts w:ascii="Times New Roman" w:hAnsi="Times New Roman" w:eastAsia="宋体"/>
                <w:spacing w:val="0"/>
                <w:kern w:val="0"/>
                <w:sz w:val="18"/>
                <w:szCs w:val="18"/>
              </w:rPr>
              <w:t>000776.SZ</w:t>
            </w:r>
          </w:p>
        </w:tc>
        <w:tc>
          <w:tcPr>
            <w:tcW w:w="960" w:type="dxa"/>
            <w:tcBorders>
              <w:top w:val="nil"/>
              <w:left w:val="nil"/>
              <w:bottom w:val="single" w:color="auto" w:sz="4" w:space="0"/>
              <w:right w:val="single" w:color="auto" w:sz="4" w:space="0"/>
            </w:tcBorders>
            <w:vAlign w:val="center"/>
          </w:tcPr>
          <w:p>
            <w:pPr>
              <w:widowControl/>
              <w:spacing w:line="240" w:lineRule="auto"/>
              <w:jc w:val="center"/>
              <w:rPr>
                <w:rFonts w:ascii="Times New Roman" w:hAnsi="Times New Roman" w:eastAsia="宋体"/>
                <w:spacing w:val="0"/>
                <w:kern w:val="0"/>
                <w:sz w:val="18"/>
                <w:szCs w:val="18"/>
              </w:rPr>
            </w:pPr>
            <w:r>
              <w:rPr>
                <w:rFonts w:ascii="Times New Roman" w:hAnsi="宋体" w:eastAsia="宋体"/>
                <w:spacing w:val="0"/>
                <w:kern w:val="0"/>
                <w:sz w:val="18"/>
                <w:szCs w:val="18"/>
              </w:rPr>
              <w:t>广发证券</w:t>
            </w:r>
          </w:p>
        </w:tc>
        <w:tc>
          <w:tcPr>
            <w:tcW w:w="1080"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13.90%</w:t>
            </w:r>
          </w:p>
        </w:tc>
        <w:tc>
          <w:tcPr>
            <w:tcW w:w="1080"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29.32%</w:t>
            </w:r>
          </w:p>
        </w:tc>
        <w:tc>
          <w:tcPr>
            <w:tcW w:w="1080"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35.72%</w:t>
            </w:r>
          </w:p>
        </w:tc>
        <w:tc>
          <w:tcPr>
            <w:tcW w:w="1080"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52.00%</w:t>
            </w:r>
          </w:p>
        </w:tc>
        <w:tc>
          <w:tcPr>
            <w:tcW w:w="1080"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52.32%</w:t>
            </w:r>
          </w:p>
        </w:tc>
        <w:tc>
          <w:tcPr>
            <w:tcW w:w="1080"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52.39%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060" w:type="dxa"/>
            <w:tcBorders>
              <w:top w:val="nil"/>
              <w:left w:val="single" w:color="auto" w:sz="4" w:space="0"/>
              <w:bottom w:val="single" w:color="auto" w:sz="4" w:space="0"/>
              <w:right w:val="single" w:color="auto" w:sz="4" w:space="0"/>
            </w:tcBorders>
            <w:vAlign w:val="center"/>
          </w:tcPr>
          <w:p>
            <w:pPr>
              <w:widowControl/>
              <w:spacing w:line="240" w:lineRule="auto"/>
              <w:jc w:val="center"/>
              <w:rPr>
                <w:rFonts w:ascii="Times New Roman" w:hAnsi="Times New Roman" w:eastAsia="宋体"/>
                <w:spacing w:val="0"/>
                <w:kern w:val="0"/>
                <w:sz w:val="18"/>
                <w:szCs w:val="18"/>
              </w:rPr>
            </w:pPr>
            <w:r>
              <w:rPr>
                <w:rFonts w:ascii="Times New Roman" w:hAnsi="Times New Roman" w:eastAsia="宋体"/>
                <w:spacing w:val="0"/>
                <w:kern w:val="0"/>
                <w:sz w:val="18"/>
                <w:szCs w:val="18"/>
              </w:rPr>
              <w:t>000783.SZ</w:t>
            </w:r>
          </w:p>
        </w:tc>
        <w:tc>
          <w:tcPr>
            <w:tcW w:w="960" w:type="dxa"/>
            <w:tcBorders>
              <w:top w:val="nil"/>
              <w:left w:val="nil"/>
              <w:bottom w:val="single" w:color="auto" w:sz="4" w:space="0"/>
              <w:right w:val="single" w:color="auto" w:sz="4" w:space="0"/>
            </w:tcBorders>
            <w:vAlign w:val="center"/>
          </w:tcPr>
          <w:p>
            <w:pPr>
              <w:widowControl/>
              <w:spacing w:line="240" w:lineRule="auto"/>
              <w:jc w:val="center"/>
              <w:rPr>
                <w:rFonts w:ascii="Times New Roman" w:hAnsi="Times New Roman" w:eastAsia="宋体"/>
                <w:spacing w:val="0"/>
                <w:kern w:val="0"/>
                <w:sz w:val="18"/>
                <w:szCs w:val="18"/>
              </w:rPr>
            </w:pPr>
            <w:r>
              <w:rPr>
                <w:rFonts w:ascii="Times New Roman" w:hAnsi="宋体" w:eastAsia="宋体"/>
                <w:spacing w:val="0"/>
                <w:kern w:val="0"/>
                <w:sz w:val="18"/>
                <w:szCs w:val="18"/>
              </w:rPr>
              <w:t>长江证券</w:t>
            </w:r>
          </w:p>
        </w:tc>
        <w:tc>
          <w:tcPr>
            <w:tcW w:w="1080"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39.65%</w:t>
            </w:r>
          </w:p>
        </w:tc>
        <w:tc>
          <w:tcPr>
            <w:tcW w:w="1080"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38.79%</w:t>
            </w:r>
          </w:p>
        </w:tc>
        <w:tc>
          <w:tcPr>
            <w:tcW w:w="1080"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41.43%</w:t>
            </w:r>
          </w:p>
        </w:tc>
        <w:tc>
          <w:tcPr>
            <w:tcW w:w="1080"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67.22%</w:t>
            </w:r>
          </w:p>
        </w:tc>
        <w:tc>
          <w:tcPr>
            <w:tcW w:w="1080"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56.42%</w:t>
            </w:r>
          </w:p>
        </w:tc>
        <w:tc>
          <w:tcPr>
            <w:tcW w:w="1080"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47.17%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060" w:type="dxa"/>
            <w:tcBorders>
              <w:top w:val="nil"/>
              <w:left w:val="single" w:color="auto" w:sz="4" w:space="0"/>
              <w:bottom w:val="single" w:color="auto" w:sz="4" w:space="0"/>
              <w:right w:val="single" w:color="auto" w:sz="4" w:space="0"/>
            </w:tcBorders>
            <w:vAlign w:val="center"/>
          </w:tcPr>
          <w:p>
            <w:pPr>
              <w:widowControl/>
              <w:spacing w:line="240" w:lineRule="auto"/>
              <w:jc w:val="center"/>
              <w:rPr>
                <w:rFonts w:ascii="Times New Roman" w:hAnsi="Times New Roman" w:eastAsia="宋体"/>
                <w:spacing w:val="0"/>
                <w:kern w:val="0"/>
                <w:sz w:val="18"/>
                <w:szCs w:val="18"/>
              </w:rPr>
            </w:pPr>
            <w:r>
              <w:rPr>
                <w:rFonts w:ascii="Times New Roman" w:hAnsi="Times New Roman" w:eastAsia="宋体"/>
                <w:spacing w:val="0"/>
                <w:kern w:val="0"/>
                <w:sz w:val="18"/>
                <w:szCs w:val="18"/>
              </w:rPr>
              <w:t>002500.SZ</w:t>
            </w:r>
          </w:p>
        </w:tc>
        <w:tc>
          <w:tcPr>
            <w:tcW w:w="960" w:type="dxa"/>
            <w:tcBorders>
              <w:top w:val="nil"/>
              <w:left w:val="nil"/>
              <w:bottom w:val="single" w:color="auto" w:sz="4" w:space="0"/>
              <w:right w:val="single" w:color="auto" w:sz="4" w:space="0"/>
            </w:tcBorders>
            <w:vAlign w:val="center"/>
          </w:tcPr>
          <w:p>
            <w:pPr>
              <w:widowControl/>
              <w:spacing w:line="240" w:lineRule="auto"/>
              <w:jc w:val="center"/>
              <w:rPr>
                <w:rFonts w:ascii="Times New Roman" w:hAnsi="Times New Roman" w:eastAsia="宋体"/>
                <w:spacing w:val="0"/>
                <w:kern w:val="0"/>
                <w:sz w:val="18"/>
                <w:szCs w:val="18"/>
              </w:rPr>
            </w:pPr>
            <w:r>
              <w:rPr>
                <w:rFonts w:ascii="Times New Roman" w:hAnsi="宋体" w:eastAsia="宋体"/>
                <w:spacing w:val="0"/>
                <w:kern w:val="0"/>
                <w:sz w:val="18"/>
                <w:szCs w:val="18"/>
              </w:rPr>
              <w:t>山西证券</w:t>
            </w:r>
          </w:p>
        </w:tc>
        <w:tc>
          <w:tcPr>
            <w:tcW w:w="1080"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44.57%</w:t>
            </w:r>
          </w:p>
        </w:tc>
        <w:tc>
          <w:tcPr>
            <w:tcW w:w="1080"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36.44%</w:t>
            </w:r>
          </w:p>
        </w:tc>
        <w:tc>
          <w:tcPr>
            <w:tcW w:w="1080"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45.55%</w:t>
            </w:r>
          </w:p>
        </w:tc>
        <w:tc>
          <w:tcPr>
            <w:tcW w:w="1080"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63.07%</w:t>
            </w:r>
          </w:p>
        </w:tc>
        <w:tc>
          <w:tcPr>
            <w:tcW w:w="1080"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69.17%</w:t>
            </w:r>
          </w:p>
        </w:tc>
        <w:tc>
          <w:tcPr>
            <w:tcW w:w="1080"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52.80%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060" w:type="dxa"/>
            <w:tcBorders>
              <w:top w:val="nil"/>
              <w:left w:val="single" w:color="auto" w:sz="4" w:space="0"/>
              <w:bottom w:val="single" w:color="auto" w:sz="4" w:space="0"/>
              <w:right w:val="single" w:color="auto" w:sz="4" w:space="0"/>
            </w:tcBorders>
            <w:vAlign w:val="center"/>
          </w:tcPr>
          <w:p>
            <w:pPr>
              <w:widowControl/>
              <w:spacing w:line="240" w:lineRule="auto"/>
              <w:jc w:val="center"/>
              <w:rPr>
                <w:rFonts w:ascii="Times New Roman" w:hAnsi="Times New Roman" w:eastAsia="宋体"/>
                <w:spacing w:val="0"/>
                <w:kern w:val="0"/>
                <w:sz w:val="18"/>
                <w:szCs w:val="18"/>
              </w:rPr>
            </w:pPr>
            <w:r>
              <w:rPr>
                <w:rFonts w:ascii="Times New Roman" w:hAnsi="Times New Roman" w:eastAsia="宋体"/>
                <w:spacing w:val="0"/>
                <w:kern w:val="0"/>
                <w:sz w:val="18"/>
                <w:szCs w:val="18"/>
              </w:rPr>
              <w:t>002673.SZ</w:t>
            </w:r>
          </w:p>
        </w:tc>
        <w:tc>
          <w:tcPr>
            <w:tcW w:w="960" w:type="dxa"/>
            <w:tcBorders>
              <w:top w:val="nil"/>
              <w:left w:val="nil"/>
              <w:bottom w:val="single" w:color="auto" w:sz="4" w:space="0"/>
              <w:right w:val="single" w:color="auto" w:sz="4" w:space="0"/>
            </w:tcBorders>
            <w:vAlign w:val="center"/>
          </w:tcPr>
          <w:p>
            <w:pPr>
              <w:widowControl/>
              <w:spacing w:line="240" w:lineRule="auto"/>
              <w:jc w:val="center"/>
              <w:rPr>
                <w:rFonts w:ascii="Times New Roman" w:hAnsi="Times New Roman" w:eastAsia="宋体"/>
                <w:spacing w:val="0"/>
                <w:kern w:val="0"/>
                <w:sz w:val="18"/>
                <w:szCs w:val="18"/>
              </w:rPr>
            </w:pPr>
            <w:r>
              <w:rPr>
                <w:rFonts w:ascii="Times New Roman" w:hAnsi="宋体" w:eastAsia="宋体"/>
                <w:spacing w:val="0"/>
                <w:kern w:val="0"/>
                <w:sz w:val="18"/>
                <w:szCs w:val="18"/>
              </w:rPr>
              <w:t>西部证券</w:t>
            </w:r>
          </w:p>
        </w:tc>
        <w:tc>
          <w:tcPr>
            <w:tcW w:w="1080"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40.86%</w:t>
            </w:r>
          </w:p>
        </w:tc>
        <w:tc>
          <w:tcPr>
            <w:tcW w:w="1080"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34.14%</w:t>
            </w:r>
          </w:p>
        </w:tc>
        <w:tc>
          <w:tcPr>
            <w:tcW w:w="1080"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48.21%</w:t>
            </w:r>
          </w:p>
        </w:tc>
        <w:tc>
          <w:tcPr>
            <w:tcW w:w="1080"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63.85%</w:t>
            </w:r>
          </w:p>
        </w:tc>
        <w:tc>
          <w:tcPr>
            <w:tcW w:w="1080"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70.65%</w:t>
            </w:r>
          </w:p>
        </w:tc>
        <w:tc>
          <w:tcPr>
            <w:tcW w:w="1080"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60.42%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060" w:type="dxa"/>
            <w:tcBorders>
              <w:top w:val="nil"/>
              <w:left w:val="single" w:color="auto" w:sz="4" w:space="0"/>
              <w:bottom w:val="single" w:color="auto" w:sz="4" w:space="0"/>
              <w:right w:val="single" w:color="auto" w:sz="4" w:space="0"/>
            </w:tcBorders>
            <w:vAlign w:val="center"/>
          </w:tcPr>
          <w:p>
            <w:pPr>
              <w:widowControl/>
              <w:spacing w:line="240" w:lineRule="auto"/>
              <w:jc w:val="center"/>
              <w:rPr>
                <w:rFonts w:ascii="Times New Roman" w:hAnsi="Times New Roman" w:eastAsia="宋体"/>
                <w:spacing w:val="0"/>
                <w:kern w:val="0"/>
                <w:sz w:val="18"/>
                <w:szCs w:val="18"/>
              </w:rPr>
            </w:pPr>
            <w:r>
              <w:rPr>
                <w:rFonts w:ascii="Times New Roman" w:hAnsi="Times New Roman" w:eastAsia="宋体"/>
                <w:spacing w:val="0"/>
                <w:kern w:val="0"/>
                <w:sz w:val="18"/>
                <w:szCs w:val="18"/>
              </w:rPr>
              <w:t>002736.SZ</w:t>
            </w:r>
          </w:p>
        </w:tc>
        <w:tc>
          <w:tcPr>
            <w:tcW w:w="960" w:type="dxa"/>
            <w:tcBorders>
              <w:top w:val="nil"/>
              <w:left w:val="nil"/>
              <w:bottom w:val="single" w:color="auto" w:sz="4" w:space="0"/>
              <w:right w:val="single" w:color="auto" w:sz="4" w:space="0"/>
            </w:tcBorders>
            <w:vAlign w:val="center"/>
          </w:tcPr>
          <w:p>
            <w:pPr>
              <w:widowControl/>
              <w:spacing w:line="240" w:lineRule="auto"/>
              <w:jc w:val="center"/>
              <w:rPr>
                <w:rFonts w:ascii="Times New Roman" w:hAnsi="Times New Roman" w:eastAsia="宋体"/>
                <w:spacing w:val="0"/>
                <w:kern w:val="0"/>
                <w:sz w:val="18"/>
                <w:szCs w:val="18"/>
              </w:rPr>
            </w:pPr>
            <w:r>
              <w:rPr>
                <w:rFonts w:ascii="Times New Roman" w:hAnsi="宋体" w:eastAsia="宋体"/>
                <w:spacing w:val="0"/>
                <w:kern w:val="0"/>
                <w:sz w:val="18"/>
                <w:szCs w:val="18"/>
              </w:rPr>
              <w:t>国信证券</w:t>
            </w:r>
          </w:p>
        </w:tc>
        <w:tc>
          <w:tcPr>
            <w:tcW w:w="1080"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42.47%</w:t>
            </w:r>
          </w:p>
        </w:tc>
        <w:tc>
          <w:tcPr>
            <w:tcW w:w="1080"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32.14%</w:t>
            </w:r>
          </w:p>
        </w:tc>
        <w:tc>
          <w:tcPr>
            <w:tcW w:w="1080"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42.35%</w:t>
            </w:r>
          </w:p>
        </w:tc>
        <w:tc>
          <w:tcPr>
            <w:tcW w:w="1080"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54.46%</w:t>
            </w:r>
          </w:p>
        </w:tc>
        <w:tc>
          <w:tcPr>
            <w:tcW w:w="1080"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57.16%</w:t>
            </w:r>
          </w:p>
        </w:tc>
        <w:tc>
          <w:tcPr>
            <w:tcW w:w="1080"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48.49%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060" w:type="dxa"/>
            <w:tcBorders>
              <w:top w:val="nil"/>
              <w:left w:val="single" w:color="auto" w:sz="4" w:space="0"/>
              <w:bottom w:val="single" w:color="auto" w:sz="4" w:space="0"/>
              <w:right w:val="single" w:color="auto" w:sz="4" w:space="0"/>
            </w:tcBorders>
            <w:vAlign w:val="center"/>
          </w:tcPr>
          <w:p>
            <w:pPr>
              <w:widowControl/>
              <w:spacing w:line="240" w:lineRule="auto"/>
              <w:jc w:val="center"/>
              <w:rPr>
                <w:rFonts w:ascii="Times New Roman" w:hAnsi="Times New Roman" w:eastAsia="宋体"/>
                <w:spacing w:val="0"/>
                <w:kern w:val="0"/>
                <w:sz w:val="18"/>
                <w:szCs w:val="18"/>
              </w:rPr>
            </w:pPr>
            <w:r>
              <w:rPr>
                <w:rFonts w:ascii="Times New Roman" w:hAnsi="Times New Roman" w:eastAsia="宋体"/>
                <w:spacing w:val="0"/>
                <w:kern w:val="0"/>
                <w:sz w:val="18"/>
                <w:szCs w:val="18"/>
              </w:rPr>
              <w:t>600030.SH</w:t>
            </w:r>
          </w:p>
        </w:tc>
        <w:tc>
          <w:tcPr>
            <w:tcW w:w="960" w:type="dxa"/>
            <w:tcBorders>
              <w:top w:val="nil"/>
              <w:left w:val="nil"/>
              <w:bottom w:val="single" w:color="auto" w:sz="4" w:space="0"/>
              <w:right w:val="single" w:color="auto" w:sz="4" w:space="0"/>
            </w:tcBorders>
            <w:vAlign w:val="center"/>
          </w:tcPr>
          <w:p>
            <w:pPr>
              <w:widowControl/>
              <w:spacing w:line="240" w:lineRule="auto"/>
              <w:jc w:val="center"/>
              <w:rPr>
                <w:rFonts w:ascii="Times New Roman" w:hAnsi="Times New Roman" w:eastAsia="宋体"/>
                <w:spacing w:val="0"/>
                <w:kern w:val="0"/>
                <w:sz w:val="18"/>
                <w:szCs w:val="18"/>
              </w:rPr>
            </w:pPr>
            <w:r>
              <w:rPr>
                <w:rFonts w:ascii="Times New Roman" w:hAnsi="宋体" w:eastAsia="宋体"/>
                <w:spacing w:val="0"/>
                <w:kern w:val="0"/>
                <w:sz w:val="18"/>
                <w:szCs w:val="18"/>
              </w:rPr>
              <w:t>中信证券</w:t>
            </w:r>
          </w:p>
        </w:tc>
        <w:tc>
          <w:tcPr>
            <w:tcW w:w="1080"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23.25%</w:t>
            </w:r>
          </w:p>
        </w:tc>
        <w:tc>
          <w:tcPr>
            <w:tcW w:w="1080"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24.73%</w:t>
            </w:r>
          </w:p>
        </w:tc>
        <w:tc>
          <w:tcPr>
            <w:tcW w:w="1080"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22.92%</w:t>
            </w:r>
          </w:p>
        </w:tc>
        <w:tc>
          <w:tcPr>
            <w:tcW w:w="1080"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27.46%</w:t>
            </w:r>
          </w:p>
        </w:tc>
        <w:tc>
          <w:tcPr>
            <w:tcW w:w="1080"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45.37%</w:t>
            </w:r>
          </w:p>
        </w:tc>
        <w:tc>
          <w:tcPr>
            <w:tcW w:w="1080"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44.78%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060" w:type="dxa"/>
            <w:tcBorders>
              <w:top w:val="nil"/>
              <w:left w:val="single" w:color="auto" w:sz="4" w:space="0"/>
              <w:bottom w:val="single" w:color="auto" w:sz="4" w:space="0"/>
              <w:right w:val="single" w:color="auto" w:sz="4" w:space="0"/>
            </w:tcBorders>
            <w:vAlign w:val="center"/>
          </w:tcPr>
          <w:p>
            <w:pPr>
              <w:widowControl/>
              <w:spacing w:line="240" w:lineRule="auto"/>
              <w:jc w:val="center"/>
              <w:rPr>
                <w:rFonts w:ascii="Times New Roman" w:hAnsi="Times New Roman" w:eastAsia="宋体"/>
                <w:spacing w:val="0"/>
                <w:kern w:val="0"/>
                <w:sz w:val="18"/>
                <w:szCs w:val="18"/>
              </w:rPr>
            </w:pPr>
            <w:r>
              <w:rPr>
                <w:rFonts w:ascii="Times New Roman" w:hAnsi="Times New Roman" w:eastAsia="宋体"/>
                <w:spacing w:val="0"/>
                <w:kern w:val="0"/>
                <w:sz w:val="18"/>
                <w:szCs w:val="18"/>
              </w:rPr>
              <w:t>600109.SH</w:t>
            </w:r>
          </w:p>
        </w:tc>
        <w:tc>
          <w:tcPr>
            <w:tcW w:w="960" w:type="dxa"/>
            <w:tcBorders>
              <w:top w:val="nil"/>
              <w:left w:val="nil"/>
              <w:bottom w:val="single" w:color="auto" w:sz="4" w:space="0"/>
              <w:right w:val="single" w:color="auto" w:sz="4" w:space="0"/>
            </w:tcBorders>
            <w:vAlign w:val="center"/>
          </w:tcPr>
          <w:p>
            <w:pPr>
              <w:widowControl/>
              <w:spacing w:line="240" w:lineRule="auto"/>
              <w:jc w:val="center"/>
              <w:rPr>
                <w:rFonts w:ascii="Times New Roman" w:hAnsi="Times New Roman" w:eastAsia="宋体"/>
                <w:spacing w:val="0"/>
                <w:kern w:val="0"/>
                <w:sz w:val="18"/>
                <w:szCs w:val="18"/>
              </w:rPr>
            </w:pPr>
            <w:r>
              <w:rPr>
                <w:rFonts w:ascii="Times New Roman" w:hAnsi="宋体" w:eastAsia="宋体"/>
                <w:spacing w:val="0"/>
                <w:kern w:val="0"/>
                <w:sz w:val="18"/>
                <w:szCs w:val="18"/>
              </w:rPr>
              <w:t>国金证券</w:t>
            </w:r>
          </w:p>
        </w:tc>
        <w:tc>
          <w:tcPr>
            <w:tcW w:w="1080"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30.20%</w:t>
            </w:r>
          </w:p>
        </w:tc>
        <w:tc>
          <w:tcPr>
            <w:tcW w:w="1080"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46.50%</w:t>
            </w:r>
          </w:p>
        </w:tc>
        <w:tc>
          <w:tcPr>
            <w:tcW w:w="1080"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56.68%</w:t>
            </w:r>
          </w:p>
        </w:tc>
        <w:tc>
          <w:tcPr>
            <w:tcW w:w="1080"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68.15%</w:t>
            </w:r>
          </w:p>
        </w:tc>
        <w:tc>
          <w:tcPr>
            <w:tcW w:w="1080"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70.54%</w:t>
            </w:r>
          </w:p>
        </w:tc>
        <w:tc>
          <w:tcPr>
            <w:tcW w:w="1080"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67.27%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060" w:type="dxa"/>
            <w:tcBorders>
              <w:top w:val="nil"/>
              <w:left w:val="single" w:color="auto" w:sz="4" w:space="0"/>
              <w:bottom w:val="single" w:color="auto" w:sz="4" w:space="0"/>
              <w:right w:val="single" w:color="auto" w:sz="4" w:space="0"/>
            </w:tcBorders>
            <w:vAlign w:val="center"/>
          </w:tcPr>
          <w:p>
            <w:pPr>
              <w:widowControl/>
              <w:spacing w:line="240" w:lineRule="auto"/>
              <w:jc w:val="center"/>
              <w:rPr>
                <w:rFonts w:ascii="Times New Roman" w:hAnsi="Times New Roman" w:eastAsia="宋体"/>
                <w:spacing w:val="0"/>
                <w:kern w:val="0"/>
                <w:sz w:val="18"/>
                <w:szCs w:val="18"/>
              </w:rPr>
            </w:pPr>
            <w:r>
              <w:rPr>
                <w:rFonts w:ascii="Times New Roman" w:hAnsi="Times New Roman" w:eastAsia="宋体"/>
                <w:spacing w:val="0"/>
                <w:kern w:val="0"/>
                <w:sz w:val="18"/>
                <w:szCs w:val="18"/>
              </w:rPr>
              <w:t>600369.SH</w:t>
            </w:r>
          </w:p>
        </w:tc>
        <w:tc>
          <w:tcPr>
            <w:tcW w:w="960" w:type="dxa"/>
            <w:tcBorders>
              <w:top w:val="nil"/>
              <w:left w:val="nil"/>
              <w:bottom w:val="single" w:color="auto" w:sz="4" w:space="0"/>
              <w:right w:val="single" w:color="auto" w:sz="4" w:space="0"/>
            </w:tcBorders>
            <w:vAlign w:val="center"/>
          </w:tcPr>
          <w:p>
            <w:pPr>
              <w:widowControl/>
              <w:spacing w:line="240" w:lineRule="auto"/>
              <w:jc w:val="center"/>
              <w:rPr>
                <w:rFonts w:ascii="Times New Roman" w:hAnsi="Times New Roman" w:eastAsia="宋体"/>
                <w:spacing w:val="0"/>
                <w:kern w:val="0"/>
                <w:sz w:val="18"/>
                <w:szCs w:val="18"/>
              </w:rPr>
            </w:pPr>
            <w:r>
              <w:rPr>
                <w:rFonts w:ascii="Times New Roman" w:hAnsi="宋体" w:eastAsia="宋体"/>
                <w:spacing w:val="0"/>
                <w:kern w:val="0"/>
                <w:sz w:val="18"/>
                <w:szCs w:val="18"/>
              </w:rPr>
              <w:t>西南证券</w:t>
            </w:r>
          </w:p>
        </w:tc>
        <w:tc>
          <w:tcPr>
            <w:tcW w:w="1080"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76.92%</w:t>
            </w:r>
          </w:p>
        </w:tc>
        <w:tc>
          <w:tcPr>
            <w:tcW w:w="1080"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33.95%</w:t>
            </w:r>
          </w:p>
        </w:tc>
        <w:tc>
          <w:tcPr>
            <w:tcW w:w="1080"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40.31%</w:t>
            </w:r>
          </w:p>
        </w:tc>
        <w:tc>
          <w:tcPr>
            <w:tcW w:w="1080"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81.50%</w:t>
            </w:r>
          </w:p>
        </w:tc>
        <w:tc>
          <w:tcPr>
            <w:tcW w:w="1080"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61.81%</w:t>
            </w:r>
          </w:p>
        </w:tc>
        <w:tc>
          <w:tcPr>
            <w:tcW w:w="1080"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57.79%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060" w:type="dxa"/>
            <w:tcBorders>
              <w:top w:val="nil"/>
              <w:left w:val="single" w:color="auto" w:sz="4" w:space="0"/>
              <w:bottom w:val="single" w:color="auto" w:sz="4" w:space="0"/>
              <w:right w:val="single" w:color="auto" w:sz="4" w:space="0"/>
            </w:tcBorders>
            <w:vAlign w:val="center"/>
          </w:tcPr>
          <w:p>
            <w:pPr>
              <w:widowControl/>
              <w:spacing w:line="240" w:lineRule="auto"/>
              <w:jc w:val="center"/>
              <w:rPr>
                <w:rFonts w:ascii="Times New Roman" w:hAnsi="Times New Roman" w:eastAsia="宋体"/>
                <w:spacing w:val="0"/>
                <w:kern w:val="0"/>
                <w:sz w:val="18"/>
                <w:szCs w:val="18"/>
              </w:rPr>
            </w:pPr>
            <w:r>
              <w:rPr>
                <w:rFonts w:ascii="Times New Roman" w:hAnsi="Times New Roman" w:eastAsia="宋体"/>
                <w:spacing w:val="0"/>
                <w:kern w:val="0"/>
                <w:sz w:val="18"/>
                <w:szCs w:val="18"/>
              </w:rPr>
              <w:t>600837.SH</w:t>
            </w:r>
          </w:p>
        </w:tc>
        <w:tc>
          <w:tcPr>
            <w:tcW w:w="960" w:type="dxa"/>
            <w:tcBorders>
              <w:top w:val="nil"/>
              <w:left w:val="nil"/>
              <w:bottom w:val="single" w:color="auto" w:sz="4" w:space="0"/>
              <w:right w:val="single" w:color="auto" w:sz="4" w:space="0"/>
            </w:tcBorders>
            <w:vAlign w:val="center"/>
          </w:tcPr>
          <w:p>
            <w:pPr>
              <w:widowControl/>
              <w:spacing w:line="240" w:lineRule="auto"/>
              <w:jc w:val="center"/>
              <w:rPr>
                <w:rFonts w:ascii="Times New Roman" w:hAnsi="Times New Roman" w:eastAsia="宋体"/>
                <w:spacing w:val="0"/>
                <w:kern w:val="0"/>
                <w:sz w:val="18"/>
                <w:szCs w:val="18"/>
              </w:rPr>
            </w:pPr>
            <w:r>
              <w:rPr>
                <w:rFonts w:ascii="Times New Roman" w:hAnsi="宋体" w:eastAsia="宋体"/>
                <w:spacing w:val="0"/>
                <w:kern w:val="0"/>
                <w:sz w:val="18"/>
                <w:szCs w:val="18"/>
              </w:rPr>
              <w:t>海通证券</w:t>
            </w:r>
          </w:p>
        </w:tc>
        <w:tc>
          <w:tcPr>
            <w:tcW w:w="1080"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39.58%</w:t>
            </w:r>
          </w:p>
        </w:tc>
        <w:tc>
          <w:tcPr>
            <w:tcW w:w="1080"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35.12%</w:t>
            </w:r>
          </w:p>
        </w:tc>
        <w:tc>
          <w:tcPr>
            <w:tcW w:w="1080"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41.66%</w:t>
            </w:r>
          </w:p>
        </w:tc>
        <w:tc>
          <w:tcPr>
            <w:tcW w:w="1080"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39.08%</w:t>
            </w:r>
          </w:p>
        </w:tc>
        <w:tc>
          <w:tcPr>
            <w:tcW w:w="1080"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37.47%</w:t>
            </w:r>
          </w:p>
        </w:tc>
        <w:tc>
          <w:tcPr>
            <w:tcW w:w="1080"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39.50%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060" w:type="dxa"/>
            <w:tcBorders>
              <w:top w:val="nil"/>
              <w:left w:val="single" w:color="auto" w:sz="4" w:space="0"/>
              <w:bottom w:val="single" w:color="auto" w:sz="4" w:space="0"/>
              <w:right w:val="single" w:color="auto" w:sz="4" w:space="0"/>
            </w:tcBorders>
            <w:vAlign w:val="center"/>
          </w:tcPr>
          <w:p>
            <w:pPr>
              <w:widowControl/>
              <w:spacing w:line="240" w:lineRule="auto"/>
              <w:jc w:val="center"/>
              <w:rPr>
                <w:rFonts w:ascii="Times New Roman" w:hAnsi="Times New Roman" w:eastAsia="宋体"/>
                <w:spacing w:val="0"/>
                <w:kern w:val="0"/>
                <w:sz w:val="18"/>
                <w:szCs w:val="18"/>
              </w:rPr>
            </w:pPr>
            <w:r>
              <w:rPr>
                <w:rFonts w:ascii="Times New Roman" w:hAnsi="Times New Roman" w:eastAsia="宋体"/>
                <w:spacing w:val="0"/>
                <w:kern w:val="0"/>
                <w:sz w:val="18"/>
                <w:szCs w:val="18"/>
              </w:rPr>
              <w:t>600999.SH</w:t>
            </w:r>
          </w:p>
        </w:tc>
        <w:tc>
          <w:tcPr>
            <w:tcW w:w="960" w:type="dxa"/>
            <w:tcBorders>
              <w:top w:val="nil"/>
              <w:left w:val="nil"/>
              <w:bottom w:val="single" w:color="auto" w:sz="4" w:space="0"/>
              <w:right w:val="single" w:color="auto" w:sz="4" w:space="0"/>
            </w:tcBorders>
            <w:vAlign w:val="center"/>
          </w:tcPr>
          <w:p>
            <w:pPr>
              <w:widowControl/>
              <w:spacing w:line="240" w:lineRule="auto"/>
              <w:jc w:val="center"/>
              <w:rPr>
                <w:rFonts w:ascii="Times New Roman" w:hAnsi="Times New Roman" w:eastAsia="宋体"/>
                <w:spacing w:val="0"/>
                <w:kern w:val="0"/>
                <w:sz w:val="18"/>
                <w:szCs w:val="18"/>
              </w:rPr>
            </w:pPr>
            <w:r>
              <w:rPr>
                <w:rFonts w:ascii="Times New Roman" w:hAnsi="宋体" w:eastAsia="宋体"/>
                <w:spacing w:val="0"/>
                <w:kern w:val="0"/>
                <w:sz w:val="18"/>
                <w:szCs w:val="18"/>
              </w:rPr>
              <w:t>招商证券</w:t>
            </w:r>
          </w:p>
        </w:tc>
        <w:tc>
          <w:tcPr>
            <w:tcW w:w="1080"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41.26%</w:t>
            </w:r>
          </w:p>
        </w:tc>
        <w:tc>
          <w:tcPr>
            <w:tcW w:w="1080"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34.30%</w:t>
            </w:r>
          </w:p>
        </w:tc>
        <w:tc>
          <w:tcPr>
            <w:tcW w:w="1080"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34.08%</w:t>
            </w:r>
          </w:p>
        </w:tc>
        <w:tc>
          <w:tcPr>
            <w:tcW w:w="1080"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44.62%</w:t>
            </w:r>
          </w:p>
        </w:tc>
        <w:tc>
          <w:tcPr>
            <w:tcW w:w="1080"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51.23%</w:t>
            </w:r>
          </w:p>
        </w:tc>
        <w:tc>
          <w:tcPr>
            <w:tcW w:w="1080"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48.41%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060" w:type="dxa"/>
            <w:tcBorders>
              <w:top w:val="nil"/>
              <w:left w:val="single" w:color="auto" w:sz="4" w:space="0"/>
              <w:bottom w:val="single" w:color="auto" w:sz="4" w:space="0"/>
              <w:right w:val="single" w:color="auto" w:sz="4" w:space="0"/>
            </w:tcBorders>
            <w:vAlign w:val="center"/>
          </w:tcPr>
          <w:p>
            <w:pPr>
              <w:widowControl/>
              <w:spacing w:line="240" w:lineRule="auto"/>
              <w:jc w:val="center"/>
              <w:rPr>
                <w:rFonts w:ascii="Times New Roman" w:hAnsi="Times New Roman" w:eastAsia="宋体"/>
                <w:spacing w:val="0"/>
                <w:kern w:val="0"/>
                <w:sz w:val="18"/>
                <w:szCs w:val="18"/>
              </w:rPr>
            </w:pPr>
            <w:r>
              <w:rPr>
                <w:rFonts w:ascii="Times New Roman" w:hAnsi="Times New Roman" w:eastAsia="宋体"/>
                <w:spacing w:val="0"/>
                <w:kern w:val="0"/>
                <w:sz w:val="18"/>
                <w:szCs w:val="18"/>
              </w:rPr>
              <w:t>601099.SH</w:t>
            </w:r>
          </w:p>
        </w:tc>
        <w:tc>
          <w:tcPr>
            <w:tcW w:w="960" w:type="dxa"/>
            <w:tcBorders>
              <w:top w:val="nil"/>
              <w:left w:val="nil"/>
              <w:bottom w:val="single" w:color="auto" w:sz="4" w:space="0"/>
              <w:right w:val="single" w:color="auto" w:sz="4" w:space="0"/>
            </w:tcBorders>
            <w:vAlign w:val="center"/>
          </w:tcPr>
          <w:p>
            <w:pPr>
              <w:widowControl/>
              <w:spacing w:line="240" w:lineRule="auto"/>
              <w:jc w:val="center"/>
              <w:rPr>
                <w:rFonts w:ascii="Times New Roman" w:hAnsi="Times New Roman" w:eastAsia="宋体"/>
                <w:spacing w:val="0"/>
                <w:kern w:val="0"/>
                <w:sz w:val="18"/>
                <w:szCs w:val="18"/>
              </w:rPr>
            </w:pPr>
            <w:r>
              <w:rPr>
                <w:rFonts w:ascii="Times New Roman" w:hAnsi="宋体" w:eastAsia="宋体"/>
                <w:spacing w:val="0"/>
                <w:kern w:val="0"/>
                <w:sz w:val="18"/>
                <w:szCs w:val="18"/>
              </w:rPr>
              <w:t>太平洋</w:t>
            </w:r>
          </w:p>
        </w:tc>
        <w:tc>
          <w:tcPr>
            <w:tcW w:w="1080"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p>
        </w:tc>
        <w:tc>
          <w:tcPr>
            <w:tcW w:w="1080"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p>
        </w:tc>
        <w:tc>
          <w:tcPr>
            <w:tcW w:w="1080"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p>
        </w:tc>
        <w:tc>
          <w:tcPr>
            <w:tcW w:w="1080"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63.73%</w:t>
            </w:r>
          </w:p>
        </w:tc>
        <w:tc>
          <w:tcPr>
            <w:tcW w:w="1080"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75.38%</w:t>
            </w:r>
          </w:p>
        </w:tc>
        <w:tc>
          <w:tcPr>
            <w:tcW w:w="1080"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72.64%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060" w:type="dxa"/>
            <w:tcBorders>
              <w:top w:val="nil"/>
              <w:left w:val="single" w:color="auto" w:sz="4" w:space="0"/>
              <w:bottom w:val="single" w:color="auto" w:sz="4" w:space="0"/>
              <w:right w:val="single" w:color="auto" w:sz="4" w:space="0"/>
            </w:tcBorders>
            <w:vAlign w:val="center"/>
          </w:tcPr>
          <w:p>
            <w:pPr>
              <w:widowControl/>
              <w:spacing w:line="240" w:lineRule="auto"/>
              <w:jc w:val="center"/>
              <w:rPr>
                <w:rFonts w:ascii="Times New Roman" w:hAnsi="Times New Roman" w:eastAsia="宋体"/>
                <w:spacing w:val="0"/>
                <w:kern w:val="0"/>
                <w:sz w:val="18"/>
                <w:szCs w:val="18"/>
              </w:rPr>
            </w:pPr>
            <w:r>
              <w:rPr>
                <w:rFonts w:ascii="Times New Roman" w:hAnsi="Times New Roman" w:eastAsia="宋体"/>
                <w:spacing w:val="0"/>
                <w:kern w:val="0"/>
                <w:sz w:val="18"/>
                <w:szCs w:val="18"/>
              </w:rPr>
              <w:t>601198.SH</w:t>
            </w:r>
          </w:p>
        </w:tc>
        <w:tc>
          <w:tcPr>
            <w:tcW w:w="960" w:type="dxa"/>
            <w:tcBorders>
              <w:top w:val="nil"/>
              <w:left w:val="nil"/>
              <w:bottom w:val="single" w:color="auto" w:sz="4" w:space="0"/>
              <w:right w:val="single" w:color="auto" w:sz="4" w:space="0"/>
            </w:tcBorders>
            <w:vAlign w:val="center"/>
          </w:tcPr>
          <w:p>
            <w:pPr>
              <w:widowControl/>
              <w:spacing w:line="240" w:lineRule="auto"/>
              <w:jc w:val="center"/>
              <w:rPr>
                <w:rFonts w:ascii="Times New Roman" w:hAnsi="Times New Roman" w:eastAsia="宋体"/>
                <w:spacing w:val="0"/>
                <w:kern w:val="0"/>
                <w:sz w:val="18"/>
                <w:szCs w:val="18"/>
              </w:rPr>
            </w:pPr>
            <w:r>
              <w:rPr>
                <w:rFonts w:ascii="Times New Roman" w:hAnsi="宋体" w:eastAsia="宋体"/>
                <w:spacing w:val="0"/>
                <w:kern w:val="0"/>
                <w:sz w:val="18"/>
                <w:szCs w:val="18"/>
              </w:rPr>
              <w:t>东兴证券</w:t>
            </w:r>
          </w:p>
        </w:tc>
        <w:tc>
          <w:tcPr>
            <w:tcW w:w="1080"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53.36%</w:t>
            </w:r>
          </w:p>
        </w:tc>
        <w:tc>
          <w:tcPr>
            <w:tcW w:w="1080"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44.79%</w:t>
            </w:r>
          </w:p>
        </w:tc>
        <w:tc>
          <w:tcPr>
            <w:tcW w:w="1080"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50.05%</w:t>
            </w:r>
          </w:p>
        </w:tc>
        <w:tc>
          <w:tcPr>
            <w:tcW w:w="1080"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49.43%</w:t>
            </w:r>
          </w:p>
        </w:tc>
        <w:tc>
          <w:tcPr>
            <w:tcW w:w="1080"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58.10%</w:t>
            </w:r>
          </w:p>
        </w:tc>
        <w:tc>
          <w:tcPr>
            <w:tcW w:w="1080"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54.42%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060" w:type="dxa"/>
            <w:tcBorders>
              <w:top w:val="nil"/>
              <w:left w:val="single" w:color="auto" w:sz="4" w:space="0"/>
              <w:bottom w:val="single" w:color="auto" w:sz="4" w:space="0"/>
              <w:right w:val="single" w:color="auto" w:sz="4" w:space="0"/>
            </w:tcBorders>
            <w:vAlign w:val="center"/>
          </w:tcPr>
          <w:p>
            <w:pPr>
              <w:widowControl/>
              <w:spacing w:line="240" w:lineRule="auto"/>
              <w:jc w:val="center"/>
              <w:rPr>
                <w:rFonts w:ascii="Times New Roman" w:hAnsi="Times New Roman" w:eastAsia="宋体"/>
                <w:spacing w:val="0"/>
                <w:kern w:val="0"/>
                <w:sz w:val="18"/>
                <w:szCs w:val="18"/>
              </w:rPr>
            </w:pPr>
            <w:r>
              <w:rPr>
                <w:rFonts w:ascii="Times New Roman" w:hAnsi="Times New Roman" w:eastAsia="宋体"/>
                <w:spacing w:val="0"/>
                <w:kern w:val="0"/>
                <w:sz w:val="18"/>
                <w:szCs w:val="18"/>
              </w:rPr>
              <w:t>601377.SH</w:t>
            </w:r>
          </w:p>
        </w:tc>
        <w:tc>
          <w:tcPr>
            <w:tcW w:w="960" w:type="dxa"/>
            <w:tcBorders>
              <w:top w:val="nil"/>
              <w:left w:val="nil"/>
              <w:bottom w:val="single" w:color="auto" w:sz="4" w:space="0"/>
              <w:right w:val="single" w:color="auto" w:sz="4" w:space="0"/>
            </w:tcBorders>
            <w:vAlign w:val="center"/>
          </w:tcPr>
          <w:p>
            <w:pPr>
              <w:widowControl/>
              <w:spacing w:line="240" w:lineRule="auto"/>
              <w:jc w:val="center"/>
              <w:rPr>
                <w:rFonts w:ascii="Times New Roman" w:hAnsi="Times New Roman" w:eastAsia="宋体"/>
                <w:spacing w:val="0"/>
                <w:kern w:val="0"/>
                <w:sz w:val="18"/>
                <w:szCs w:val="18"/>
              </w:rPr>
            </w:pPr>
            <w:r>
              <w:rPr>
                <w:rFonts w:ascii="Times New Roman" w:hAnsi="宋体" w:eastAsia="宋体"/>
                <w:spacing w:val="0"/>
                <w:kern w:val="0"/>
                <w:sz w:val="18"/>
                <w:szCs w:val="18"/>
              </w:rPr>
              <w:t>兴业证券</w:t>
            </w:r>
          </w:p>
        </w:tc>
        <w:tc>
          <w:tcPr>
            <w:tcW w:w="1080"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60.76%</w:t>
            </w:r>
          </w:p>
        </w:tc>
        <w:tc>
          <w:tcPr>
            <w:tcW w:w="1080"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41.61%</w:t>
            </w:r>
          </w:p>
        </w:tc>
        <w:tc>
          <w:tcPr>
            <w:tcW w:w="1080"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52.45%</w:t>
            </w:r>
          </w:p>
        </w:tc>
        <w:tc>
          <w:tcPr>
            <w:tcW w:w="1080"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65.86%</w:t>
            </w:r>
          </w:p>
        </w:tc>
        <w:tc>
          <w:tcPr>
            <w:tcW w:w="1080"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66.80%</w:t>
            </w:r>
          </w:p>
        </w:tc>
        <w:tc>
          <w:tcPr>
            <w:tcW w:w="1080"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62.21%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060" w:type="dxa"/>
            <w:tcBorders>
              <w:top w:val="nil"/>
              <w:left w:val="single" w:color="auto" w:sz="4" w:space="0"/>
              <w:bottom w:val="single" w:color="auto" w:sz="4" w:space="0"/>
              <w:right w:val="single" w:color="auto" w:sz="4" w:space="0"/>
            </w:tcBorders>
            <w:vAlign w:val="center"/>
          </w:tcPr>
          <w:p>
            <w:pPr>
              <w:widowControl/>
              <w:spacing w:line="240" w:lineRule="auto"/>
              <w:jc w:val="center"/>
              <w:rPr>
                <w:rFonts w:ascii="Times New Roman" w:hAnsi="Times New Roman" w:eastAsia="宋体"/>
                <w:spacing w:val="0"/>
                <w:kern w:val="0"/>
                <w:sz w:val="18"/>
                <w:szCs w:val="18"/>
              </w:rPr>
            </w:pPr>
            <w:r>
              <w:rPr>
                <w:rFonts w:ascii="Times New Roman" w:hAnsi="Times New Roman" w:eastAsia="宋体"/>
                <w:spacing w:val="0"/>
                <w:kern w:val="0"/>
                <w:sz w:val="18"/>
                <w:szCs w:val="18"/>
              </w:rPr>
              <w:t>601555.SH</w:t>
            </w:r>
          </w:p>
        </w:tc>
        <w:tc>
          <w:tcPr>
            <w:tcW w:w="960" w:type="dxa"/>
            <w:tcBorders>
              <w:top w:val="nil"/>
              <w:left w:val="nil"/>
              <w:bottom w:val="single" w:color="auto" w:sz="4" w:space="0"/>
              <w:right w:val="single" w:color="auto" w:sz="4" w:space="0"/>
            </w:tcBorders>
            <w:vAlign w:val="center"/>
          </w:tcPr>
          <w:p>
            <w:pPr>
              <w:widowControl/>
              <w:spacing w:line="240" w:lineRule="auto"/>
              <w:jc w:val="center"/>
              <w:rPr>
                <w:rFonts w:ascii="Times New Roman" w:hAnsi="Times New Roman" w:eastAsia="宋体"/>
                <w:spacing w:val="0"/>
                <w:kern w:val="0"/>
                <w:sz w:val="18"/>
                <w:szCs w:val="18"/>
              </w:rPr>
            </w:pPr>
            <w:r>
              <w:rPr>
                <w:rFonts w:ascii="Times New Roman" w:hAnsi="宋体" w:eastAsia="宋体"/>
                <w:spacing w:val="0"/>
                <w:kern w:val="0"/>
                <w:sz w:val="18"/>
                <w:szCs w:val="18"/>
              </w:rPr>
              <w:t>东吴证券</w:t>
            </w:r>
          </w:p>
        </w:tc>
        <w:tc>
          <w:tcPr>
            <w:tcW w:w="1080"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54.67%</w:t>
            </w:r>
          </w:p>
        </w:tc>
        <w:tc>
          <w:tcPr>
            <w:tcW w:w="1080"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43.50%</w:t>
            </w:r>
          </w:p>
        </w:tc>
        <w:tc>
          <w:tcPr>
            <w:tcW w:w="1080"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51.08%</w:t>
            </w:r>
          </w:p>
        </w:tc>
        <w:tc>
          <w:tcPr>
            <w:tcW w:w="1080"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68.53%</w:t>
            </w:r>
          </w:p>
        </w:tc>
        <w:tc>
          <w:tcPr>
            <w:tcW w:w="1080"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69.90%</w:t>
            </w:r>
          </w:p>
        </w:tc>
        <w:tc>
          <w:tcPr>
            <w:tcW w:w="1080"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62.30%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060" w:type="dxa"/>
            <w:tcBorders>
              <w:top w:val="nil"/>
              <w:left w:val="single" w:color="auto" w:sz="4" w:space="0"/>
              <w:bottom w:val="single" w:color="auto" w:sz="4" w:space="0"/>
              <w:right w:val="single" w:color="auto" w:sz="4" w:space="0"/>
            </w:tcBorders>
            <w:vAlign w:val="center"/>
          </w:tcPr>
          <w:p>
            <w:pPr>
              <w:widowControl/>
              <w:spacing w:line="240" w:lineRule="auto"/>
              <w:jc w:val="center"/>
              <w:rPr>
                <w:rFonts w:ascii="Times New Roman" w:hAnsi="Times New Roman" w:eastAsia="宋体"/>
                <w:spacing w:val="0"/>
                <w:kern w:val="0"/>
                <w:sz w:val="18"/>
                <w:szCs w:val="18"/>
              </w:rPr>
            </w:pPr>
            <w:r>
              <w:rPr>
                <w:rFonts w:ascii="Times New Roman" w:hAnsi="Times New Roman" w:eastAsia="宋体"/>
                <w:spacing w:val="0"/>
                <w:kern w:val="0"/>
                <w:sz w:val="18"/>
                <w:szCs w:val="18"/>
              </w:rPr>
              <w:t>601688.SH</w:t>
            </w:r>
          </w:p>
        </w:tc>
        <w:tc>
          <w:tcPr>
            <w:tcW w:w="960" w:type="dxa"/>
            <w:tcBorders>
              <w:top w:val="nil"/>
              <w:left w:val="nil"/>
              <w:bottom w:val="single" w:color="auto" w:sz="4" w:space="0"/>
              <w:right w:val="single" w:color="auto" w:sz="4" w:space="0"/>
            </w:tcBorders>
            <w:vAlign w:val="center"/>
          </w:tcPr>
          <w:p>
            <w:pPr>
              <w:widowControl/>
              <w:spacing w:line="240" w:lineRule="auto"/>
              <w:jc w:val="center"/>
              <w:rPr>
                <w:rFonts w:ascii="Times New Roman" w:hAnsi="Times New Roman" w:eastAsia="宋体"/>
                <w:spacing w:val="0"/>
                <w:kern w:val="0"/>
                <w:sz w:val="18"/>
                <w:szCs w:val="18"/>
              </w:rPr>
            </w:pPr>
            <w:r>
              <w:rPr>
                <w:rFonts w:ascii="Times New Roman" w:hAnsi="宋体" w:eastAsia="宋体"/>
                <w:spacing w:val="0"/>
                <w:kern w:val="0"/>
                <w:sz w:val="18"/>
                <w:szCs w:val="18"/>
              </w:rPr>
              <w:t>华泰证券</w:t>
            </w:r>
          </w:p>
        </w:tc>
        <w:tc>
          <w:tcPr>
            <w:tcW w:w="1080"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38.94%</w:t>
            </w:r>
          </w:p>
        </w:tc>
        <w:tc>
          <w:tcPr>
            <w:tcW w:w="1080"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34.94%</w:t>
            </w:r>
          </w:p>
        </w:tc>
        <w:tc>
          <w:tcPr>
            <w:tcW w:w="1080"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38.63%</w:t>
            </w:r>
          </w:p>
        </w:tc>
        <w:tc>
          <w:tcPr>
            <w:tcW w:w="1080"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47.35%</w:t>
            </w:r>
          </w:p>
        </w:tc>
        <w:tc>
          <w:tcPr>
            <w:tcW w:w="1080"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56.41%</w:t>
            </w:r>
          </w:p>
        </w:tc>
        <w:tc>
          <w:tcPr>
            <w:tcW w:w="1080"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49.55%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060" w:type="dxa"/>
            <w:tcBorders>
              <w:top w:val="nil"/>
              <w:left w:val="single" w:color="auto" w:sz="4" w:space="0"/>
              <w:bottom w:val="single" w:color="auto" w:sz="4" w:space="0"/>
              <w:right w:val="single" w:color="auto" w:sz="4" w:space="0"/>
            </w:tcBorders>
            <w:vAlign w:val="center"/>
          </w:tcPr>
          <w:p>
            <w:pPr>
              <w:widowControl/>
              <w:spacing w:line="240" w:lineRule="auto"/>
              <w:jc w:val="center"/>
              <w:rPr>
                <w:rFonts w:ascii="Times New Roman" w:hAnsi="Times New Roman" w:eastAsia="宋体"/>
                <w:spacing w:val="0"/>
                <w:kern w:val="0"/>
                <w:sz w:val="18"/>
                <w:szCs w:val="18"/>
              </w:rPr>
            </w:pPr>
            <w:r>
              <w:rPr>
                <w:rFonts w:ascii="Times New Roman" w:hAnsi="Times New Roman" w:eastAsia="宋体"/>
                <w:spacing w:val="0"/>
                <w:kern w:val="0"/>
                <w:sz w:val="18"/>
                <w:szCs w:val="18"/>
              </w:rPr>
              <w:t>601788.SH</w:t>
            </w:r>
          </w:p>
        </w:tc>
        <w:tc>
          <w:tcPr>
            <w:tcW w:w="960" w:type="dxa"/>
            <w:tcBorders>
              <w:top w:val="nil"/>
              <w:left w:val="nil"/>
              <w:bottom w:val="single" w:color="auto" w:sz="4" w:space="0"/>
              <w:right w:val="single" w:color="auto" w:sz="4" w:space="0"/>
            </w:tcBorders>
            <w:vAlign w:val="center"/>
          </w:tcPr>
          <w:p>
            <w:pPr>
              <w:widowControl/>
              <w:spacing w:line="240" w:lineRule="auto"/>
              <w:jc w:val="center"/>
              <w:rPr>
                <w:rFonts w:ascii="Times New Roman" w:hAnsi="Times New Roman" w:eastAsia="宋体"/>
                <w:spacing w:val="0"/>
                <w:kern w:val="0"/>
                <w:sz w:val="18"/>
                <w:szCs w:val="18"/>
              </w:rPr>
            </w:pPr>
            <w:r>
              <w:rPr>
                <w:rFonts w:ascii="Times New Roman" w:hAnsi="宋体" w:eastAsia="宋体"/>
                <w:spacing w:val="0"/>
                <w:kern w:val="0"/>
                <w:sz w:val="18"/>
                <w:szCs w:val="18"/>
              </w:rPr>
              <w:t>光大证券</w:t>
            </w:r>
          </w:p>
        </w:tc>
        <w:tc>
          <w:tcPr>
            <w:tcW w:w="1080"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39.14%</w:t>
            </w:r>
          </w:p>
        </w:tc>
        <w:tc>
          <w:tcPr>
            <w:tcW w:w="1080"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28.62%</w:t>
            </w:r>
          </w:p>
        </w:tc>
        <w:tc>
          <w:tcPr>
            <w:tcW w:w="1080"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36.28%</w:t>
            </w:r>
          </w:p>
        </w:tc>
        <w:tc>
          <w:tcPr>
            <w:tcW w:w="1080"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40.75%</w:t>
            </w:r>
          </w:p>
        </w:tc>
        <w:tc>
          <w:tcPr>
            <w:tcW w:w="1080"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56.60%</w:t>
            </w:r>
          </w:p>
        </w:tc>
        <w:tc>
          <w:tcPr>
            <w:tcW w:w="1080"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63.42%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060" w:type="dxa"/>
            <w:tcBorders>
              <w:top w:val="nil"/>
              <w:left w:val="single" w:color="auto" w:sz="4" w:space="0"/>
              <w:bottom w:val="single" w:color="auto" w:sz="4" w:space="0"/>
              <w:right w:val="single" w:color="auto" w:sz="4" w:space="0"/>
            </w:tcBorders>
            <w:vAlign w:val="center"/>
          </w:tcPr>
          <w:p>
            <w:pPr>
              <w:widowControl/>
              <w:spacing w:line="240" w:lineRule="auto"/>
              <w:jc w:val="center"/>
              <w:rPr>
                <w:rFonts w:ascii="Times New Roman" w:hAnsi="Times New Roman" w:eastAsia="宋体"/>
                <w:spacing w:val="0"/>
                <w:kern w:val="0"/>
                <w:sz w:val="18"/>
                <w:szCs w:val="18"/>
              </w:rPr>
            </w:pPr>
            <w:r>
              <w:rPr>
                <w:rFonts w:ascii="Times New Roman" w:hAnsi="Times New Roman" w:eastAsia="宋体"/>
                <w:spacing w:val="0"/>
                <w:kern w:val="0"/>
                <w:sz w:val="18"/>
                <w:szCs w:val="18"/>
              </w:rPr>
              <w:t>601901.SH</w:t>
            </w:r>
          </w:p>
        </w:tc>
        <w:tc>
          <w:tcPr>
            <w:tcW w:w="960" w:type="dxa"/>
            <w:tcBorders>
              <w:top w:val="nil"/>
              <w:left w:val="nil"/>
              <w:bottom w:val="single" w:color="auto" w:sz="4" w:space="0"/>
              <w:right w:val="single" w:color="auto" w:sz="4" w:space="0"/>
            </w:tcBorders>
            <w:vAlign w:val="center"/>
          </w:tcPr>
          <w:p>
            <w:pPr>
              <w:widowControl/>
              <w:spacing w:line="240" w:lineRule="auto"/>
              <w:jc w:val="center"/>
              <w:rPr>
                <w:rFonts w:ascii="Times New Roman" w:hAnsi="Times New Roman" w:eastAsia="宋体"/>
                <w:spacing w:val="0"/>
                <w:kern w:val="0"/>
                <w:sz w:val="18"/>
                <w:szCs w:val="18"/>
              </w:rPr>
            </w:pPr>
            <w:r>
              <w:rPr>
                <w:rFonts w:ascii="Times New Roman" w:hAnsi="宋体" w:eastAsia="宋体"/>
                <w:spacing w:val="0"/>
                <w:kern w:val="0"/>
                <w:sz w:val="18"/>
                <w:szCs w:val="18"/>
              </w:rPr>
              <w:t>方正证券</w:t>
            </w:r>
          </w:p>
        </w:tc>
        <w:tc>
          <w:tcPr>
            <w:tcW w:w="1080"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48.82%</w:t>
            </w:r>
          </w:p>
        </w:tc>
        <w:tc>
          <w:tcPr>
            <w:tcW w:w="1080"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36.04%</w:t>
            </w:r>
          </w:p>
        </w:tc>
        <w:tc>
          <w:tcPr>
            <w:tcW w:w="1080"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35.85%</w:t>
            </w:r>
          </w:p>
        </w:tc>
        <w:tc>
          <w:tcPr>
            <w:tcW w:w="1080"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79.47%</w:t>
            </w:r>
          </w:p>
        </w:tc>
        <w:tc>
          <w:tcPr>
            <w:tcW w:w="1080"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59.52%</w:t>
            </w:r>
          </w:p>
        </w:tc>
        <w:tc>
          <w:tcPr>
            <w:tcW w:w="1080" w:type="dxa"/>
            <w:tcBorders>
              <w:top w:val="nil"/>
              <w:left w:val="nil"/>
              <w:bottom w:val="single" w:color="auto" w:sz="4" w:space="0"/>
              <w:right w:val="single" w:color="auto" w:sz="4" w:space="0"/>
            </w:tcBorders>
            <w:vAlign w:val="center"/>
          </w:tcPr>
          <w:p>
            <w:pPr>
              <w:widowControl/>
              <w:spacing w:line="240" w:lineRule="auto"/>
              <w:jc w:val="right"/>
              <w:rPr>
                <w:rFonts w:ascii="Times New Roman" w:hAnsi="Times New Roman" w:eastAsia="宋体"/>
                <w:spacing w:val="0"/>
                <w:kern w:val="0"/>
                <w:sz w:val="18"/>
                <w:szCs w:val="18"/>
              </w:rPr>
            </w:pPr>
            <w:r>
              <w:rPr>
                <w:rFonts w:ascii="Times New Roman" w:hAnsi="Times New Roman" w:eastAsia="宋体"/>
                <w:spacing w:val="0"/>
                <w:kern w:val="0"/>
                <w:sz w:val="18"/>
                <w:szCs w:val="18"/>
              </w:rPr>
              <w:t>41.30%</w:t>
            </w:r>
          </w:p>
        </w:tc>
      </w:tr>
    </w:tbl>
    <w:p>
      <w:pPr>
        <w:spacing w:line="360" w:lineRule="auto"/>
        <w:ind w:firstLine="584" w:firstLineChars="200"/>
        <w:rPr>
          <w:rFonts w:ascii="Times New Roman" w:hAnsi="Times New Roman"/>
          <w:sz w:val="28"/>
          <w:szCs w:val="28"/>
          <w:lang w:val="zh-CN"/>
        </w:rPr>
      </w:pPr>
    </w:p>
    <w:p>
      <w:pPr>
        <w:spacing w:line="360" w:lineRule="auto"/>
        <w:ind w:firstLine="584" w:firstLineChars="200"/>
        <w:rPr>
          <w:rFonts w:ascii="Times New Roman" w:hAnsi="Times New Roman"/>
          <w:sz w:val="28"/>
          <w:szCs w:val="28"/>
          <w:lang w:val="zh-CN"/>
        </w:rPr>
      </w:pPr>
      <w:r>
        <w:rPr>
          <w:rFonts w:hint="eastAsia" w:ascii="Times New Roman" w:hAnsi="Times New Roman"/>
          <w:sz w:val="28"/>
          <w:szCs w:val="28"/>
          <w:lang w:val="zh-CN"/>
        </w:rPr>
        <w:t>将各年度各上市公司管理费用/营业收入比值绘制成散点图，可见这一比重大部分落在40%-60%区间内，平均值在50%左右。可以认定业务及管理费预测较为合理。</w:t>
      </w:r>
    </w:p>
    <w:p>
      <w:pPr>
        <w:spacing w:line="360" w:lineRule="auto"/>
        <w:ind w:firstLine="560" w:firstLineChars="200"/>
        <w:rPr>
          <w:rFonts w:ascii="Times New Roman" w:hAnsi="Times New Roman"/>
          <w:sz w:val="28"/>
          <w:szCs w:val="28"/>
          <w:lang w:val="zh-CN"/>
        </w:rPr>
      </w:pPr>
      <w:r>
        <w:rPr>
          <w:rFonts w:ascii="Times New Roman" w:hAnsi="Times New Roman" w:eastAsia="仿宋_GB2312" w:cs="Times New Roman"/>
          <w:spacing w:val="6"/>
          <w:kern w:val="2"/>
          <w:sz w:val="28"/>
          <w:szCs w:val="28"/>
          <w:lang w:val="en-US" w:eastAsia="zh-CN" w:bidi="ar-SA"/>
        </w:rPr>
        <w:drawing>
          <wp:inline distT="0" distB="0" distL="114300" distR="114300">
            <wp:extent cx="4572000" cy="2743200"/>
            <wp:effectExtent l="0" t="0" r="0" b="0"/>
            <wp:docPr id="1" name="图表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表 1"/>
                    <pic:cNvPicPr>
                      <a:picLocks noChangeAspect="1"/>
                    </pic:cNvPicPr>
                  </pic:nvPicPr>
                  <pic:blipFill>
                    <a:blip r:embed="rId8">
                      <a:lum/>
                    </a:blip>
                    <a:srcRect/>
                    <a:stretch>
                      <a:fillRect/>
                    </a:stretch>
                  </pic:blipFill>
                  <pic:spPr>
                    <a:xfrm>
                      <a:off x="0" y="0"/>
                      <a:ext cx="4572000" cy="2743200"/>
                    </a:xfrm>
                    <a:prstGeom prst="rect">
                      <a:avLst/>
                    </a:prstGeom>
                    <a:noFill/>
                    <a:ln w="9525">
                      <a:noFill/>
                      <a:miter/>
                    </a:ln>
                  </pic:spPr>
                </pic:pic>
              </a:graphicData>
            </a:graphic>
          </wp:inline>
        </w:drawing>
      </w:r>
    </w:p>
    <w:p>
      <w:pPr>
        <w:spacing w:line="360" w:lineRule="auto"/>
        <w:ind w:firstLine="584" w:firstLineChars="200"/>
        <w:rPr>
          <w:rFonts w:ascii="Times New Roman" w:hAnsi="Times New Roman"/>
          <w:sz w:val="28"/>
          <w:szCs w:val="28"/>
          <w:lang w:val="zh-CN"/>
        </w:rPr>
      </w:pPr>
    </w:p>
    <w:p>
      <w:pPr>
        <w:spacing w:line="360" w:lineRule="auto"/>
        <w:ind w:firstLine="584" w:firstLineChars="200"/>
        <w:rPr>
          <w:rFonts w:ascii="Times New Roman" w:hAnsi="Times New Roman"/>
          <w:sz w:val="28"/>
          <w:szCs w:val="28"/>
          <w:lang w:val="zh-CN"/>
        </w:rPr>
      </w:pPr>
      <w:r>
        <w:rPr>
          <w:rFonts w:hint="eastAsia" w:ascii="Times New Roman" w:hAnsi="Times New Roman"/>
          <w:sz w:val="28"/>
          <w:szCs w:val="28"/>
          <w:lang w:val="zh-CN"/>
        </w:rPr>
        <w:t>更进一步，将20y8-20x3年证券行业上市公司业务及管理费和营业收入进行线性回归分析，得到如下线性方程：</w:t>
      </w:r>
    </w:p>
    <w:p>
      <w:pPr>
        <w:spacing w:line="360" w:lineRule="auto"/>
        <w:ind w:firstLine="584" w:firstLineChars="200"/>
        <w:rPr>
          <w:rFonts w:ascii="Times New Roman" w:hAnsi="Times New Roman"/>
          <w:sz w:val="28"/>
          <w:szCs w:val="28"/>
          <w:lang w:val="zh-CN"/>
        </w:rPr>
      </w:pPr>
      <w:r>
        <w:rPr>
          <w:rFonts w:ascii="Times New Roman" w:hAnsi="Times New Roman"/>
          <w:sz w:val="28"/>
          <w:szCs w:val="28"/>
          <w:lang w:val="zh-CN"/>
        </w:rPr>
        <w:t>y = 0.3017x + 400000000</w:t>
      </w:r>
    </w:p>
    <w:p>
      <w:pPr>
        <w:spacing w:line="360" w:lineRule="auto"/>
        <w:ind w:firstLine="584" w:firstLineChars="200"/>
        <w:rPr>
          <w:rFonts w:ascii="Times New Roman" w:hAnsi="Times New Roman"/>
          <w:sz w:val="28"/>
          <w:szCs w:val="28"/>
          <w:lang w:val="zh-CN"/>
        </w:rPr>
      </w:pPr>
      <w:r>
        <w:rPr>
          <w:rFonts w:ascii="Times New Roman" w:hAnsi="Times New Roman"/>
          <w:sz w:val="28"/>
          <w:szCs w:val="28"/>
          <w:lang w:val="zh-CN"/>
        </w:rPr>
        <w:t>R² = 0.8378</w:t>
      </w:r>
    </w:p>
    <w:p>
      <w:pPr>
        <w:spacing w:line="360" w:lineRule="auto"/>
        <w:ind w:firstLine="584" w:firstLineChars="200"/>
        <w:rPr>
          <w:rFonts w:ascii="Times New Roman" w:hAnsi="Times New Roman"/>
          <w:sz w:val="28"/>
          <w:szCs w:val="28"/>
          <w:lang w:val="zh-CN"/>
        </w:rPr>
      </w:pPr>
      <w:r>
        <w:rPr>
          <w:rFonts w:hint="eastAsia" w:ascii="Times New Roman" w:hAnsi="Times New Roman"/>
          <w:sz w:val="28"/>
          <w:szCs w:val="28"/>
          <w:lang w:val="zh-CN"/>
        </w:rPr>
        <w:t>其中：y=管理费用</w:t>
      </w:r>
    </w:p>
    <w:p>
      <w:pPr>
        <w:spacing w:line="360" w:lineRule="auto"/>
        <w:ind w:firstLine="584" w:firstLineChars="200"/>
        <w:rPr>
          <w:rFonts w:ascii="Times New Roman" w:hAnsi="Times New Roman"/>
          <w:sz w:val="28"/>
          <w:szCs w:val="28"/>
          <w:lang w:val="zh-CN"/>
        </w:rPr>
      </w:pPr>
      <w:r>
        <w:rPr>
          <w:rFonts w:hint="eastAsia" w:ascii="Times New Roman" w:hAnsi="Times New Roman"/>
          <w:sz w:val="28"/>
          <w:szCs w:val="28"/>
          <w:lang w:val="zh-CN"/>
        </w:rPr>
        <w:t xml:space="preserve">      x=营业收入</w:t>
      </w:r>
    </w:p>
    <w:p>
      <w:pPr>
        <w:spacing w:line="360" w:lineRule="auto"/>
        <w:ind w:firstLine="584" w:firstLineChars="200"/>
        <w:rPr>
          <w:rFonts w:ascii="Times New Roman" w:hAnsi="Times New Roman"/>
          <w:sz w:val="28"/>
          <w:szCs w:val="28"/>
          <w:lang w:val="zh-CN"/>
        </w:rPr>
      </w:pPr>
      <w:r>
        <w:rPr>
          <w:rFonts w:hint="eastAsia" w:ascii="Times New Roman" w:hAnsi="Times New Roman"/>
          <w:sz w:val="28"/>
          <w:szCs w:val="28"/>
          <w:lang w:val="zh-CN"/>
        </w:rPr>
        <w:t>可见管理费用和营业收入间存在良好的线性关系。</w:t>
      </w:r>
    </w:p>
    <w:p>
      <w:pPr>
        <w:spacing w:line="360" w:lineRule="auto"/>
        <w:jc w:val="center"/>
        <w:rPr>
          <w:rFonts w:ascii="Times New Roman" w:hAnsi="Times New Roman"/>
          <w:sz w:val="28"/>
          <w:szCs w:val="28"/>
          <w:lang w:val="zh-CN"/>
        </w:rPr>
      </w:pPr>
      <w:r>
        <w:rPr>
          <w:rFonts w:ascii="Times New Roman" w:hAnsi="Times New Roman" w:eastAsia="仿宋_GB2312" w:cs="Times New Roman"/>
          <w:spacing w:val="6"/>
          <w:kern w:val="2"/>
          <w:sz w:val="28"/>
          <w:szCs w:val="28"/>
          <w:lang w:val="en-US" w:eastAsia="zh-CN" w:bidi="ar-SA"/>
        </w:rPr>
        <w:drawing>
          <wp:inline distT="0" distB="0" distL="114300" distR="114300">
            <wp:extent cx="4276725" cy="2524125"/>
            <wp:effectExtent l="0" t="0" r="9525" b="952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pic:cNvPicPr>
                  </pic:nvPicPr>
                  <pic:blipFill>
                    <a:blip r:embed="rId9">
                      <a:lum/>
                    </a:blip>
                    <a:srcRect/>
                    <a:stretch>
                      <a:fillRect/>
                    </a:stretch>
                  </pic:blipFill>
                  <pic:spPr>
                    <a:xfrm>
                      <a:off x="0" y="0"/>
                      <a:ext cx="4276725" cy="2524125"/>
                    </a:xfrm>
                    <a:prstGeom prst="rect">
                      <a:avLst/>
                    </a:prstGeom>
                    <a:noFill/>
                    <a:ln w="9525">
                      <a:noFill/>
                      <a:miter/>
                    </a:ln>
                  </pic:spPr>
                </pic:pic>
              </a:graphicData>
            </a:graphic>
          </wp:inline>
        </w:drawing>
      </w:r>
    </w:p>
    <w:p>
      <w:pPr>
        <w:spacing w:line="360" w:lineRule="auto"/>
        <w:ind w:firstLine="584" w:firstLineChars="200"/>
        <w:rPr>
          <w:rFonts w:ascii="Times New Roman" w:hAnsi="Times New Roman"/>
          <w:sz w:val="28"/>
          <w:szCs w:val="28"/>
          <w:lang w:val="zh-CN"/>
        </w:rPr>
      </w:pPr>
    </w:p>
    <w:sectPr>
      <w:footerReference r:id="rId3" w:type="default"/>
      <w:footerReference r:id="rId4" w:type="even"/>
      <w:pgSz w:w="11906" w:h="16838"/>
      <w:pgMar w:top="1644" w:right="1418" w:bottom="1985" w:left="1542" w:header="851" w:footer="113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仿宋_GB2312">
    <w:altName w:val="仿宋"/>
    <w:panose1 w:val="02010609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6"/>
      <w:framePr w:w="2055" w:wrap="around" w:vAnchor="text" w:hAnchor="page" w:x="8440" w:y="-355"/>
      <w:spacing w:line="0" w:lineRule="atLeast"/>
      <w:ind w:right="345"/>
      <w:jc w:val="right"/>
      <w:rPr>
        <w:rStyle w:val="23"/>
      </w:rPr>
    </w:pPr>
    <w:r>
      <w:rPr>
        <w:rStyle w:val="23"/>
        <w:rFonts w:hint="eastAsia" w:ascii="仿宋_GB2312"/>
      </w:rPr>
      <w:t xml:space="preserve">— </w:t>
    </w:r>
    <w:r>
      <w:rPr>
        <w:rStyle w:val="23"/>
      </w:rPr>
      <w:fldChar w:fldCharType="begin"/>
    </w:r>
    <w:r>
      <w:rPr>
        <w:rStyle w:val="23"/>
      </w:rPr>
      <w:instrText xml:space="preserve">PAGE  </w:instrText>
    </w:r>
    <w:r>
      <w:rPr>
        <w:rStyle w:val="23"/>
      </w:rPr>
      <w:fldChar w:fldCharType="separate"/>
    </w:r>
    <w:r>
      <w:rPr>
        <w:rStyle w:val="23"/>
      </w:rPr>
      <w:t>1</w:t>
    </w:r>
    <w:r>
      <w:rPr>
        <w:rStyle w:val="23"/>
      </w:rPr>
      <w:fldChar w:fldCharType="end"/>
    </w:r>
    <w:r>
      <w:rPr>
        <w:rStyle w:val="23"/>
        <w:rFonts w:hint="eastAsia"/>
      </w:rPr>
      <w:t xml:space="preserve"> </w:t>
    </w:r>
    <w:r>
      <w:rPr>
        <w:rStyle w:val="23"/>
        <w:rFonts w:hint="eastAsia" w:ascii="仿宋_GB2312"/>
      </w:rPr>
      <w:t>—</w:t>
    </w:r>
  </w:p>
  <w:p>
    <w:pPr>
      <w:pStyle w:val="16"/>
      <w:tabs>
        <w:tab w:val="clear" w:pos="8306"/>
      </w:tab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6"/>
      <w:framePr w:w="1596" w:wrap="around" w:vAnchor="text" w:hAnchor="page" w:x="1885" w:y="-415"/>
      <w:jc w:val="both"/>
      <w:rPr>
        <w:rStyle w:val="23"/>
      </w:rPr>
    </w:pPr>
    <w:r>
      <w:rPr>
        <w:rStyle w:val="23"/>
        <w:rFonts w:hint="eastAsia" w:ascii="仿宋_GB2312"/>
      </w:rPr>
      <w:t xml:space="preserve">— </w:t>
    </w:r>
    <w:r>
      <w:rPr>
        <w:rStyle w:val="23"/>
      </w:rPr>
      <w:fldChar w:fldCharType="begin"/>
    </w:r>
    <w:r>
      <w:rPr>
        <w:rStyle w:val="23"/>
      </w:rPr>
      <w:instrText xml:space="preserve">PAGE  </w:instrText>
    </w:r>
    <w:r>
      <w:rPr>
        <w:rStyle w:val="23"/>
      </w:rPr>
      <w:fldChar w:fldCharType="separate"/>
    </w:r>
    <w:r>
      <w:rPr>
        <w:rStyle w:val="23"/>
      </w:rPr>
      <w:t>8</w:t>
    </w:r>
    <w:r>
      <w:rPr>
        <w:rStyle w:val="23"/>
      </w:rPr>
      <w:fldChar w:fldCharType="end"/>
    </w:r>
    <w:r>
      <w:rPr>
        <w:rStyle w:val="23"/>
        <w:rFonts w:hint="eastAsia"/>
      </w:rPr>
      <w:t xml:space="preserve"> </w:t>
    </w:r>
    <w:r>
      <w:rPr>
        <w:rStyle w:val="23"/>
        <w:rFonts w:hint="eastAsia" w:ascii="仿宋_GB2312"/>
      </w:rPr>
      <w:t>—</w:t>
    </w:r>
  </w:p>
  <w:p>
    <w:pPr>
      <w:pStyle w:val="1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5E4"/>
    <w:rsid w:val="0002508C"/>
    <w:rsid w:val="0014446E"/>
    <w:rsid w:val="001642F7"/>
    <w:rsid w:val="001700BD"/>
    <w:rsid w:val="001A03B1"/>
    <w:rsid w:val="001B3582"/>
    <w:rsid w:val="001E50A4"/>
    <w:rsid w:val="00220D32"/>
    <w:rsid w:val="002A42AF"/>
    <w:rsid w:val="002F3865"/>
    <w:rsid w:val="00385ACC"/>
    <w:rsid w:val="003A0D47"/>
    <w:rsid w:val="003E3244"/>
    <w:rsid w:val="003E5467"/>
    <w:rsid w:val="00406142"/>
    <w:rsid w:val="00445A86"/>
    <w:rsid w:val="00471B53"/>
    <w:rsid w:val="00496A2C"/>
    <w:rsid w:val="004A38BA"/>
    <w:rsid w:val="004D4E14"/>
    <w:rsid w:val="004F3359"/>
    <w:rsid w:val="00572ECF"/>
    <w:rsid w:val="005E05AC"/>
    <w:rsid w:val="006530CE"/>
    <w:rsid w:val="007063FC"/>
    <w:rsid w:val="007A5AE7"/>
    <w:rsid w:val="00830694"/>
    <w:rsid w:val="008362B3"/>
    <w:rsid w:val="0086259B"/>
    <w:rsid w:val="0087220A"/>
    <w:rsid w:val="008D4B66"/>
    <w:rsid w:val="00935A80"/>
    <w:rsid w:val="009A2333"/>
    <w:rsid w:val="009A7C1B"/>
    <w:rsid w:val="009D3252"/>
    <w:rsid w:val="009E3591"/>
    <w:rsid w:val="00A832B5"/>
    <w:rsid w:val="00A94823"/>
    <w:rsid w:val="00C43EB3"/>
    <w:rsid w:val="00C85755"/>
    <w:rsid w:val="00CD7581"/>
    <w:rsid w:val="00D34196"/>
    <w:rsid w:val="00D44304"/>
    <w:rsid w:val="00D661A0"/>
    <w:rsid w:val="00DD1B36"/>
    <w:rsid w:val="00E26DA2"/>
    <w:rsid w:val="00E44498"/>
    <w:rsid w:val="00EA7872"/>
    <w:rsid w:val="00ED2CAE"/>
    <w:rsid w:val="00F4346B"/>
    <w:rsid w:val="00F6419B"/>
    <w:rsid w:val="00FC55E4"/>
    <w:rsid w:val="026F45B5"/>
    <w:rsid w:val="13A57B0E"/>
    <w:rsid w:val="1D946DA7"/>
    <w:rsid w:val="25575CD2"/>
    <w:rsid w:val="2F424F98"/>
    <w:rsid w:val="30D41EAC"/>
    <w:rsid w:val="32DD16FE"/>
    <w:rsid w:val="332E4ECB"/>
    <w:rsid w:val="33D972CE"/>
    <w:rsid w:val="365819C7"/>
    <w:rsid w:val="38896926"/>
    <w:rsid w:val="3BAD4371"/>
    <w:rsid w:val="3F9625DF"/>
    <w:rsid w:val="47210E42"/>
    <w:rsid w:val="59D241BE"/>
    <w:rsid w:val="637F0FCD"/>
    <w:rsid w:val="65F56152"/>
    <w:rsid w:val="66D21518"/>
    <w:rsid w:val="670761F8"/>
    <w:rsid w:val="67E642CC"/>
    <w:rsid w:val="6808013C"/>
    <w:rsid w:val="6B29761E"/>
    <w:rsid w:val="71634A0C"/>
    <w:rsid w:val="77D00E5D"/>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semiHidden="0" w:name="footnote text"/>
    <w:lsdException w:uiPriority="0" w:semiHidden="0" w:name="annotation text"/>
    <w:lsdException w:uiPriority="99" w:semiHidden="0" w:name="header"/>
    <w:lsdException w:uiPriority="99" w:semiHidden="0" w:name="footer"/>
    <w:lsdException w:uiPriority="0" w:name="index heading"/>
    <w:lsdException w:uiPriority="35" w:name="caption"/>
    <w:lsdException w:uiPriority="0" w:name="table of figures"/>
    <w:lsdException w:uiPriority="0" w:name="envelope address"/>
    <w:lsdException w:uiPriority="0" w:name="envelope return"/>
    <w:lsdException w:uiPriority="0" w:semiHidden="0" w:name="footnote reference"/>
    <w:lsdException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qFormat="1"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snapToGrid w:val="0"/>
      <w:spacing w:line="588" w:lineRule="atLeast"/>
      <w:jc w:val="both"/>
    </w:pPr>
    <w:rPr>
      <w:rFonts w:ascii="宋体" w:hAnsi="宋体" w:eastAsia="仿宋_GB2312" w:cs="Times New Roman"/>
      <w:spacing w:val="6"/>
      <w:kern w:val="2"/>
      <w:sz w:val="30"/>
      <w:szCs w:val="24"/>
      <w:lang w:val="en-US" w:eastAsia="zh-CN" w:bidi="ar-SA"/>
    </w:rPr>
  </w:style>
  <w:style w:type="paragraph" w:styleId="2">
    <w:name w:val="heading 1"/>
    <w:basedOn w:val="1"/>
    <w:next w:val="1"/>
    <w:link w:val="33"/>
    <w:qFormat/>
    <w:uiPriority w:val="9"/>
    <w:pPr>
      <w:keepNext/>
      <w:widowControl/>
      <w:adjustRightInd/>
      <w:snapToGrid/>
      <w:spacing w:before="240" w:after="60" w:line="240" w:lineRule="auto"/>
      <w:jc w:val="left"/>
      <w:outlineLvl w:val="0"/>
    </w:pPr>
    <w:rPr>
      <w:rFonts w:ascii="Cambria" w:hAnsi="Cambria" w:eastAsia="宋体"/>
      <w:b/>
      <w:bCs/>
      <w:spacing w:val="0"/>
      <w:kern w:val="32"/>
      <w:sz w:val="32"/>
      <w:szCs w:val="32"/>
    </w:rPr>
  </w:style>
  <w:style w:type="paragraph" w:styleId="3">
    <w:name w:val="heading 2"/>
    <w:basedOn w:val="1"/>
    <w:next w:val="1"/>
    <w:link w:val="34"/>
    <w:unhideWhenUsed/>
    <w:qFormat/>
    <w:uiPriority w:val="9"/>
    <w:pPr>
      <w:keepNext/>
      <w:widowControl/>
      <w:adjustRightInd/>
      <w:snapToGrid/>
      <w:spacing w:before="240" w:after="60" w:line="240" w:lineRule="auto"/>
      <w:jc w:val="left"/>
      <w:outlineLvl w:val="1"/>
    </w:pPr>
    <w:rPr>
      <w:rFonts w:ascii="Cambria" w:hAnsi="Cambria" w:eastAsia="宋体"/>
      <w:b/>
      <w:bCs/>
      <w:i/>
      <w:iCs/>
      <w:spacing w:val="0"/>
      <w:kern w:val="0"/>
      <w:sz w:val="28"/>
      <w:szCs w:val="28"/>
    </w:rPr>
  </w:style>
  <w:style w:type="paragraph" w:styleId="4">
    <w:name w:val="heading 3"/>
    <w:basedOn w:val="1"/>
    <w:next w:val="1"/>
    <w:link w:val="35"/>
    <w:unhideWhenUsed/>
    <w:qFormat/>
    <w:uiPriority w:val="9"/>
    <w:pPr>
      <w:keepNext/>
      <w:widowControl/>
      <w:adjustRightInd/>
      <w:snapToGrid/>
      <w:spacing w:before="240" w:after="60" w:line="240" w:lineRule="auto"/>
      <w:jc w:val="left"/>
      <w:outlineLvl w:val="2"/>
    </w:pPr>
    <w:rPr>
      <w:rFonts w:ascii="Cambria" w:hAnsi="Cambria" w:eastAsia="宋体"/>
      <w:b/>
      <w:bCs/>
      <w:spacing w:val="0"/>
      <w:kern w:val="0"/>
      <w:sz w:val="26"/>
      <w:szCs w:val="26"/>
    </w:rPr>
  </w:style>
  <w:style w:type="paragraph" w:styleId="5">
    <w:name w:val="heading 4"/>
    <w:basedOn w:val="1"/>
    <w:next w:val="1"/>
    <w:link w:val="36"/>
    <w:unhideWhenUsed/>
    <w:qFormat/>
    <w:uiPriority w:val="9"/>
    <w:pPr>
      <w:keepNext/>
      <w:widowControl/>
      <w:adjustRightInd/>
      <w:snapToGrid/>
      <w:spacing w:before="240" w:after="60" w:line="240" w:lineRule="auto"/>
      <w:jc w:val="left"/>
      <w:outlineLvl w:val="3"/>
    </w:pPr>
    <w:rPr>
      <w:rFonts w:ascii="Times New Roman" w:hAnsi="Times New Roman" w:eastAsia="宋体"/>
      <w:b/>
      <w:bCs/>
      <w:spacing w:val="0"/>
      <w:kern w:val="0"/>
      <w:sz w:val="28"/>
      <w:szCs w:val="28"/>
    </w:rPr>
  </w:style>
  <w:style w:type="paragraph" w:styleId="6">
    <w:name w:val="heading 5"/>
    <w:basedOn w:val="1"/>
    <w:next w:val="1"/>
    <w:link w:val="37"/>
    <w:unhideWhenUsed/>
    <w:qFormat/>
    <w:uiPriority w:val="9"/>
    <w:pPr>
      <w:widowControl/>
      <w:adjustRightInd/>
      <w:snapToGrid/>
      <w:spacing w:before="240" w:after="60" w:line="240" w:lineRule="auto"/>
      <w:jc w:val="left"/>
      <w:outlineLvl w:val="4"/>
    </w:pPr>
    <w:rPr>
      <w:rFonts w:ascii="Times New Roman" w:hAnsi="Times New Roman" w:eastAsia="宋体"/>
      <w:b/>
      <w:bCs/>
      <w:i/>
      <w:iCs/>
      <w:spacing w:val="0"/>
      <w:kern w:val="0"/>
      <w:sz w:val="26"/>
      <w:szCs w:val="26"/>
    </w:rPr>
  </w:style>
  <w:style w:type="paragraph" w:styleId="7">
    <w:name w:val="heading 6"/>
    <w:basedOn w:val="1"/>
    <w:next w:val="1"/>
    <w:link w:val="38"/>
    <w:unhideWhenUsed/>
    <w:qFormat/>
    <w:uiPriority w:val="9"/>
    <w:pPr>
      <w:widowControl/>
      <w:adjustRightInd/>
      <w:snapToGrid/>
      <w:spacing w:before="240" w:after="60" w:line="240" w:lineRule="auto"/>
      <w:jc w:val="left"/>
      <w:outlineLvl w:val="5"/>
    </w:pPr>
    <w:rPr>
      <w:rFonts w:ascii="Times New Roman" w:hAnsi="Times New Roman" w:eastAsia="宋体"/>
      <w:b/>
      <w:bCs/>
      <w:spacing w:val="0"/>
      <w:kern w:val="0"/>
      <w:sz w:val="20"/>
      <w:szCs w:val="20"/>
    </w:rPr>
  </w:style>
  <w:style w:type="paragraph" w:styleId="8">
    <w:name w:val="heading 7"/>
    <w:basedOn w:val="1"/>
    <w:next w:val="1"/>
    <w:link w:val="39"/>
    <w:unhideWhenUsed/>
    <w:qFormat/>
    <w:uiPriority w:val="9"/>
    <w:pPr>
      <w:widowControl/>
      <w:adjustRightInd/>
      <w:snapToGrid/>
      <w:spacing w:before="240" w:after="60" w:line="240" w:lineRule="auto"/>
      <w:jc w:val="left"/>
      <w:outlineLvl w:val="6"/>
    </w:pPr>
    <w:rPr>
      <w:rFonts w:ascii="Times New Roman" w:hAnsi="Times New Roman" w:eastAsia="宋体"/>
      <w:spacing w:val="0"/>
      <w:kern w:val="0"/>
      <w:sz w:val="24"/>
    </w:rPr>
  </w:style>
  <w:style w:type="paragraph" w:styleId="9">
    <w:name w:val="heading 8"/>
    <w:basedOn w:val="1"/>
    <w:next w:val="1"/>
    <w:link w:val="40"/>
    <w:unhideWhenUsed/>
    <w:qFormat/>
    <w:uiPriority w:val="9"/>
    <w:pPr>
      <w:widowControl/>
      <w:adjustRightInd/>
      <w:snapToGrid/>
      <w:spacing w:before="240" w:after="60" w:line="240" w:lineRule="auto"/>
      <w:jc w:val="left"/>
      <w:outlineLvl w:val="7"/>
    </w:pPr>
    <w:rPr>
      <w:rFonts w:ascii="Times New Roman" w:hAnsi="Times New Roman" w:eastAsia="宋体"/>
      <w:i/>
      <w:iCs/>
      <w:spacing w:val="0"/>
      <w:kern w:val="0"/>
      <w:sz w:val="24"/>
    </w:rPr>
  </w:style>
  <w:style w:type="paragraph" w:styleId="10">
    <w:name w:val="heading 9"/>
    <w:basedOn w:val="1"/>
    <w:next w:val="1"/>
    <w:link w:val="41"/>
    <w:unhideWhenUsed/>
    <w:qFormat/>
    <w:uiPriority w:val="9"/>
    <w:pPr>
      <w:widowControl/>
      <w:adjustRightInd/>
      <w:snapToGrid/>
      <w:spacing w:before="240" w:after="60" w:line="240" w:lineRule="auto"/>
      <w:jc w:val="left"/>
      <w:outlineLvl w:val="8"/>
    </w:pPr>
    <w:rPr>
      <w:rFonts w:ascii="Cambria" w:hAnsi="Cambria" w:eastAsia="宋体"/>
      <w:spacing w:val="0"/>
      <w:kern w:val="0"/>
      <w:sz w:val="20"/>
      <w:szCs w:val="20"/>
    </w:rPr>
  </w:style>
  <w:style w:type="character" w:default="1" w:styleId="21">
    <w:name w:val="Default Paragraph Font"/>
    <w:unhideWhenUsed/>
    <w:uiPriority w:val="1"/>
  </w:style>
  <w:style w:type="table" w:default="1" w:styleId="27">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11">
    <w:name w:val="annotation subject"/>
    <w:basedOn w:val="12"/>
    <w:next w:val="12"/>
    <w:link w:val="57"/>
    <w:unhideWhenUsed/>
    <w:uiPriority w:val="0"/>
    <w:rPr>
      <w:b/>
      <w:bCs/>
    </w:rPr>
  </w:style>
  <w:style w:type="paragraph" w:styleId="12">
    <w:name w:val="annotation text"/>
    <w:basedOn w:val="1"/>
    <w:link w:val="56"/>
    <w:unhideWhenUsed/>
    <w:uiPriority w:val="0"/>
    <w:pPr>
      <w:jc w:val="left"/>
    </w:pPr>
  </w:style>
  <w:style w:type="paragraph" w:styleId="13">
    <w:name w:val="Document Map"/>
    <w:basedOn w:val="1"/>
    <w:link w:val="55"/>
    <w:unhideWhenUsed/>
    <w:qFormat/>
    <w:uiPriority w:val="0"/>
    <w:rPr>
      <w:rFonts w:eastAsia="宋体"/>
      <w:sz w:val="18"/>
      <w:szCs w:val="18"/>
    </w:rPr>
  </w:style>
  <w:style w:type="paragraph" w:styleId="14">
    <w:name w:val="Body Text"/>
    <w:basedOn w:val="1"/>
    <w:link w:val="53"/>
    <w:uiPriority w:val="0"/>
  </w:style>
  <w:style w:type="paragraph" w:styleId="15">
    <w:name w:val="Balloon Text"/>
    <w:basedOn w:val="1"/>
    <w:link w:val="54"/>
    <w:unhideWhenUsed/>
    <w:uiPriority w:val="0"/>
    <w:pPr>
      <w:spacing w:line="240" w:lineRule="auto"/>
    </w:pPr>
    <w:rPr>
      <w:sz w:val="18"/>
      <w:szCs w:val="18"/>
    </w:rPr>
  </w:style>
  <w:style w:type="paragraph" w:styleId="16">
    <w:name w:val="footer"/>
    <w:basedOn w:val="1"/>
    <w:link w:val="52"/>
    <w:unhideWhenUsed/>
    <w:uiPriority w:val="99"/>
    <w:pPr>
      <w:widowControl/>
      <w:tabs>
        <w:tab w:val="center" w:pos="4153"/>
        <w:tab w:val="right" w:pos="8306"/>
      </w:tabs>
      <w:adjustRightInd/>
      <w:spacing w:line="240" w:lineRule="auto"/>
      <w:jc w:val="left"/>
    </w:pPr>
    <w:rPr>
      <w:rFonts w:ascii="Times New Roman" w:hAnsi="Times New Roman" w:eastAsia="宋体"/>
      <w:spacing w:val="0"/>
      <w:kern w:val="0"/>
      <w:sz w:val="18"/>
      <w:szCs w:val="18"/>
    </w:rPr>
  </w:style>
  <w:style w:type="paragraph" w:styleId="17">
    <w:name w:val="header"/>
    <w:basedOn w:val="1"/>
    <w:link w:val="51"/>
    <w:unhideWhenUsed/>
    <w:uiPriority w:val="99"/>
    <w:pPr>
      <w:widowControl/>
      <w:pBdr>
        <w:bottom w:val="single" w:color="auto" w:sz="6" w:space="1"/>
      </w:pBdr>
      <w:tabs>
        <w:tab w:val="center" w:pos="4153"/>
        <w:tab w:val="right" w:pos="8306"/>
      </w:tabs>
      <w:adjustRightInd/>
      <w:spacing w:line="240" w:lineRule="auto"/>
      <w:jc w:val="center"/>
    </w:pPr>
    <w:rPr>
      <w:rFonts w:ascii="Times New Roman" w:hAnsi="Times New Roman" w:eastAsia="宋体"/>
      <w:spacing w:val="0"/>
      <w:kern w:val="0"/>
      <w:sz w:val="18"/>
      <w:szCs w:val="18"/>
    </w:rPr>
  </w:style>
  <w:style w:type="paragraph" w:styleId="18">
    <w:name w:val="Subtitle"/>
    <w:basedOn w:val="1"/>
    <w:next w:val="1"/>
    <w:link w:val="43"/>
    <w:qFormat/>
    <w:uiPriority w:val="11"/>
    <w:pPr>
      <w:widowControl/>
      <w:adjustRightInd/>
      <w:snapToGrid/>
      <w:spacing w:after="60" w:line="240" w:lineRule="auto"/>
      <w:jc w:val="center"/>
      <w:outlineLvl w:val="1"/>
    </w:pPr>
    <w:rPr>
      <w:rFonts w:ascii="Cambria" w:hAnsi="Cambria" w:eastAsia="宋体"/>
      <w:spacing w:val="0"/>
      <w:kern w:val="0"/>
      <w:sz w:val="24"/>
    </w:rPr>
  </w:style>
  <w:style w:type="paragraph" w:styleId="19">
    <w:name w:val="footnote text"/>
    <w:basedOn w:val="1"/>
    <w:unhideWhenUsed/>
    <w:uiPriority w:val="0"/>
    <w:pPr>
      <w:jc w:val="left"/>
    </w:pPr>
    <w:rPr>
      <w:sz w:val="18"/>
      <w:szCs w:val="18"/>
    </w:rPr>
  </w:style>
  <w:style w:type="paragraph" w:styleId="20">
    <w:name w:val="Title"/>
    <w:basedOn w:val="1"/>
    <w:next w:val="1"/>
    <w:link w:val="42"/>
    <w:qFormat/>
    <w:uiPriority w:val="10"/>
    <w:pPr>
      <w:widowControl/>
      <w:adjustRightInd/>
      <w:snapToGrid/>
      <w:spacing w:before="240" w:after="60" w:line="240" w:lineRule="auto"/>
      <w:jc w:val="center"/>
      <w:outlineLvl w:val="0"/>
    </w:pPr>
    <w:rPr>
      <w:rFonts w:ascii="Cambria" w:hAnsi="Cambria" w:eastAsia="宋体"/>
      <w:b/>
      <w:bCs/>
      <w:spacing w:val="0"/>
      <w:kern w:val="28"/>
      <w:sz w:val="32"/>
      <w:szCs w:val="32"/>
    </w:rPr>
  </w:style>
  <w:style w:type="character" w:styleId="22">
    <w:name w:val="Strong"/>
    <w:qFormat/>
    <w:uiPriority w:val="22"/>
    <w:rPr>
      <w:b/>
      <w:bCs/>
    </w:rPr>
  </w:style>
  <w:style w:type="character" w:styleId="23">
    <w:name w:val="page number"/>
    <w:basedOn w:val="21"/>
    <w:uiPriority w:val="0"/>
  </w:style>
  <w:style w:type="character" w:styleId="24">
    <w:name w:val="Emphasis"/>
    <w:qFormat/>
    <w:uiPriority w:val="20"/>
    <w:rPr>
      <w:rFonts w:ascii="Calibri" w:hAnsi="Calibri"/>
      <w:b/>
      <w:i/>
      <w:iCs/>
    </w:rPr>
  </w:style>
  <w:style w:type="character" w:styleId="25">
    <w:name w:val="annotation reference"/>
    <w:unhideWhenUsed/>
    <w:uiPriority w:val="0"/>
    <w:rPr>
      <w:sz w:val="21"/>
      <w:szCs w:val="21"/>
    </w:rPr>
  </w:style>
  <w:style w:type="character" w:styleId="26">
    <w:name w:val="footnote reference"/>
    <w:unhideWhenUsed/>
    <w:uiPriority w:val="0"/>
    <w:rPr>
      <w:vertAlign w:val="superscript"/>
    </w:rPr>
  </w:style>
  <w:style w:type="paragraph" w:customStyle="1" w:styleId="28">
    <w:name w:val="列出段落1"/>
    <w:basedOn w:val="1"/>
    <w:qFormat/>
    <w:uiPriority w:val="34"/>
    <w:pPr>
      <w:widowControl/>
      <w:adjustRightInd/>
      <w:snapToGrid/>
      <w:spacing w:line="240" w:lineRule="auto"/>
      <w:ind w:left="720"/>
      <w:contextualSpacing/>
      <w:jc w:val="left"/>
    </w:pPr>
    <w:rPr>
      <w:rFonts w:ascii="Calibri" w:hAnsi="Calibri" w:eastAsia="宋体"/>
      <w:spacing w:val="0"/>
      <w:kern w:val="0"/>
      <w:sz w:val="24"/>
    </w:rPr>
  </w:style>
  <w:style w:type="paragraph" w:customStyle="1" w:styleId="29">
    <w:name w:val="无间隔1"/>
    <w:basedOn w:val="1"/>
    <w:qFormat/>
    <w:uiPriority w:val="1"/>
    <w:pPr>
      <w:widowControl/>
      <w:adjustRightInd/>
      <w:snapToGrid/>
      <w:spacing w:line="240" w:lineRule="auto"/>
      <w:jc w:val="left"/>
    </w:pPr>
    <w:rPr>
      <w:rFonts w:ascii="Calibri" w:hAnsi="Calibri" w:eastAsia="宋体"/>
      <w:spacing w:val="0"/>
      <w:kern w:val="0"/>
      <w:sz w:val="24"/>
      <w:szCs w:val="32"/>
    </w:rPr>
  </w:style>
  <w:style w:type="paragraph" w:customStyle="1" w:styleId="30">
    <w:name w:val="引用1"/>
    <w:basedOn w:val="1"/>
    <w:next w:val="1"/>
    <w:link w:val="44"/>
    <w:qFormat/>
    <w:uiPriority w:val="29"/>
    <w:pPr>
      <w:widowControl/>
      <w:adjustRightInd/>
      <w:snapToGrid/>
      <w:spacing w:line="240" w:lineRule="auto"/>
      <w:jc w:val="left"/>
    </w:pPr>
    <w:rPr>
      <w:rFonts w:ascii="Times New Roman" w:hAnsi="Times New Roman" w:eastAsia="宋体"/>
      <w:i/>
      <w:spacing w:val="0"/>
      <w:kern w:val="0"/>
      <w:sz w:val="24"/>
    </w:rPr>
  </w:style>
  <w:style w:type="paragraph" w:customStyle="1" w:styleId="31">
    <w:name w:val="明显引用1"/>
    <w:basedOn w:val="1"/>
    <w:next w:val="1"/>
    <w:link w:val="45"/>
    <w:qFormat/>
    <w:uiPriority w:val="30"/>
    <w:pPr>
      <w:widowControl/>
      <w:adjustRightInd/>
      <w:snapToGrid/>
      <w:spacing w:line="240" w:lineRule="auto"/>
      <w:ind w:left="720" w:right="720"/>
      <w:jc w:val="left"/>
    </w:pPr>
    <w:rPr>
      <w:rFonts w:ascii="Times New Roman" w:hAnsi="Times New Roman" w:eastAsia="宋体"/>
      <w:b/>
      <w:i/>
      <w:spacing w:val="0"/>
      <w:kern w:val="0"/>
      <w:sz w:val="24"/>
      <w:szCs w:val="20"/>
    </w:rPr>
  </w:style>
  <w:style w:type="paragraph" w:customStyle="1" w:styleId="32">
    <w:name w:val="TOC 标题1"/>
    <w:basedOn w:val="2"/>
    <w:next w:val="1"/>
    <w:unhideWhenUsed/>
    <w:qFormat/>
    <w:uiPriority w:val="39"/>
    <w:pPr>
      <w:outlineLvl w:val="9"/>
    </w:pPr>
  </w:style>
  <w:style w:type="character" w:customStyle="1" w:styleId="33">
    <w:name w:val="标题 1 Char"/>
    <w:link w:val="2"/>
    <w:uiPriority w:val="9"/>
    <w:rPr>
      <w:rFonts w:ascii="Cambria" w:hAnsi="Cambria" w:eastAsia="宋体" w:cs="黑体"/>
      <w:b/>
      <w:bCs/>
      <w:kern w:val="32"/>
      <w:sz w:val="32"/>
      <w:szCs w:val="32"/>
    </w:rPr>
  </w:style>
  <w:style w:type="character" w:customStyle="1" w:styleId="34">
    <w:name w:val="标题 2 Char"/>
    <w:link w:val="3"/>
    <w:semiHidden/>
    <w:uiPriority w:val="9"/>
    <w:rPr>
      <w:rFonts w:ascii="Cambria" w:hAnsi="Cambria" w:eastAsia="宋体" w:cs="黑体"/>
      <w:b/>
      <w:bCs/>
      <w:i/>
      <w:iCs/>
      <w:sz w:val="28"/>
      <w:szCs w:val="28"/>
    </w:rPr>
  </w:style>
  <w:style w:type="character" w:customStyle="1" w:styleId="35">
    <w:name w:val="标题 3 Char"/>
    <w:link w:val="4"/>
    <w:semiHidden/>
    <w:uiPriority w:val="9"/>
    <w:rPr>
      <w:rFonts w:ascii="Cambria" w:hAnsi="Cambria" w:eastAsia="宋体" w:cs="黑体"/>
      <w:b/>
      <w:bCs/>
      <w:sz w:val="26"/>
      <w:szCs w:val="26"/>
    </w:rPr>
  </w:style>
  <w:style w:type="character" w:customStyle="1" w:styleId="36">
    <w:name w:val="标题 4 Char"/>
    <w:link w:val="5"/>
    <w:semiHidden/>
    <w:uiPriority w:val="9"/>
    <w:rPr>
      <w:rFonts w:cs="黑体"/>
      <w:b/>
      <w:bCs/>
      <w:sz w:val="28"/>
      <w:szCs w:val="28"/>
    </w:rPr>
  </w:style>
  <w:style w:type="character" w:customStyle="1" w:styleId="37">
    <w:name w:val="标题 5 Char"/>
    <w:link w:val="6"/>
    <w:semiHidden/>
    <w:uiPriority w:val="9"/>
    <w:rPr>
      <w:rFonts w:cs="黑体"/>
      <w:b/>
      <w:bCs/>
      <w:i/>
      <w:iCs/>
      <w:sz w:val="26"/>
      <w:szCs w:val="26"/>
    </w:rPr>
  </w:style>
  <w:style w:type="character" w:customStyle="1" w:styleId="38">
    <w:name w:val="标题 6 Char"/>
    <w:link w:val="7"/>
    <w:semiHidden/>
    <w:uiPriority w:val="9"/>
    <w:rPr>
      <w:rFonts w:cs="黑体"/>
      <w:b/>
      <w:bCs/>
    </w:rPr>
  </w:style>
  <w:style w:type="character" w:customStyle="1" w:styleId="39">
    <w:name w:val="标题 7 Char"/>
    <w:link w:val="8"/>
    <w:semiHidden/>
    <w:uiPriority w:val="9"/>
    <w:rPr>
      <w:rFonts w:cs="黑体"/>
      <w:sz w:val="24"/>
      <w:szCs w:val="24"/>
    </w:rPr>
  </w:style>
  <w:style w:type="character" w:customStyle="1" w:styleId="40">
    <w:name w:val="标题 8 Char"/>
    <w:link w:val="9"/>
    <w:semiHidden/>
    <w:uiPriority w:val="9"/>
    <w:rPr>
      <w:rFonts w:cs="黑体"/>
      <w:i/>
      <w:iCs/>
      <w:sz w:val="24"/>
      <w:szCs w:val="24"/>
    </w:rPr>
  </w:style>
  <w:style w:type="character" w:customStyle="1" w:styleId="41">
    <w:name w:val="标题 9 Char"/>
    <w:link w:val="10"/>
    <w:semiHidden/>
    <w:uiPriority w:val="9"/>
    <w:rPr>
      <w:rFonts w:ascii="Cambria" w:hAnsi="Cambria" w:eastAsia="宋体" w:cs="黑体"/>
    </w:rPr>
  </w:style>
  <w:style w:type="character" w:customStyle="1" w:styleId="42">
    <w:name w:val="标题 Char"/>
    <w:link w:val="20"/>
    <w:uiPriority w:val="10"/>
    <w:rPr>
      <w:rFonts w:ascii="Cambria" w:hAnsi="Cambria" w:eastAsia="宋体" w:cs="黑体"/>
      <w:b/>
      <w:bCs/>
      <w:kern w:val="28"/>
      <w:sz w:val="32"/>
      <w:szCs w:val="32"/>
    </w:rPr>
  </w:style>
  <w:style w:type="character" w:customStyle="1" w:styleId="43">
    <w:name w:val="副标题 Char"/>
    <w:link w:val="18"/>
    <w:uiPriority w:val="11"/>
    <w:rPr>
      <w:rFonts w:ascii="Cambria" w:hAnsi="Cambria" w:eastAsia="宋体" w:cs="黑体"/>
      <w:sz w:val="24"/>
      <w:szCs w:val="24"/>
    </w:rPr>
  </w:style>
  <w:style w:type="character" w:customStyle="1" w:styleId="44">
    <w:name w:val="引用 Char"/>
    <w:link w:val="30"/>
    <w:uiPriority w:val="29"/>
    <w:rPr>
      <w:i/>
      <w:sz w:val="24"/>
      <w:szCs w:val="24"/>
    </w:rPr>
  </w:style>
  <w:style w:type="character" w:customStyle="1" w:styleId="45">
    <w:name w:val="明显引用 Char"/>
    <w:link w:val="31"/>
    <w:qFormat/>
    <w:uiPriority w:val="30"/>
    <w:rPr>
      <w:b/>
      <w:i/>
      <w:sz w:val="24"/>
    </w:rPr>
  </w:style>
  <w:style w:type="character" w:customStyle="1" w:styleId="46">
    <w:name w:val="不明显强调1"/>
    <w:qFormat/>
    <w:uiPriority w:val="19"/>
    <w:rPr>
      <w:i/>
      <w:color w:val="595959"/>
    </w:rPr>
  </w:style>
  <w:style w:type="character" w:customStyle="1" w:styleId="47">
    <w:name w:val="明显强调1"/>
    <w:qFormat/>
    <w:uiPriority w:val="21"/>
    <w:rPr>
      <w:b/>
      <w:i/>
      <w:sz w:val="24"/>
      <w:szCs w:val="24"/>
      <w:u w:val="single"/>
    </w:rPr>
  </w:style>
  <w:style w:type="character" w:customStyle="1" w:styleId="48">
    <w:name w:val="不明显参考1"/>
    <w:qFormat/>
    <w:uiPriority w:val="31"/>
    <w:rPr>
      <w:sz w:val="24"/>
      <w:szCs w:val="24"/>
      <w:u w:val="single"/>
    </w:rPr>
  </w:style>
  <w:style w:type="character" w:customStyle="1" w:styleId="49">
    <w:name w:val="明显参考1"/>
    <w:qFormat/>
    <w:uiPriority w:val="32"/>
    <w:rPr>
      <w:b/>
      <w:sz w:val="24"/>
      <w:u w:val="single"/>
    </w:rPr>
  </w:style>
  <w:style w:type="character" w:customStyle="1" w:styleId="50">
    <w:name w:val="书籍标题1"/>
    <w:qFormat/>
    <w:uiPriority w:val="33"/>
    <w:rPr>
      <w:rFonts w:ascii="Cambria" w:hAnsi="Cambria" w:eastAsia="宋体"/>
      <w:b/>
      <w:i/>
      <w:sz w:val="24"/>
      <w:szCs w:val="24"/>
    </w:rPr>
  </w:style>
  <w:style w:type="character" w:customStyle="1" w:styleId="51">
    <w:name w:val="页眉 Char"/>
    <w:link w:val="17"/>
    <w:uiPriority w:val="99"/>
    <w:rPr>
      <w:sz w:val="18"/>
      <w:szCs w:val="18"/>
    </w:rPr>
  </w:style>
  <w:style w:type="character" w:customStyle="1" w:styleId="52">
    <w:name w:val="页脚 Char"/>
    <w:link w:val="16"/>
    <w:qFormat/>
    <w:uiPriority w:val="99"/>
    <w:rPr>
      <w:sz w:val="18"/>
      <w:szCs w:val="18"/>
    </w:rPr>
  </w:style>
  <w:style w:type="character" w:customStyle="1" w:styleId="53">
    <w:name w:val="正文文本 Char"/>
    <w:link w:val="14"/>
    <w:uiPriority w:val="0"/>
    <w:rPr>
      <w:rFonts w:ascii="宋体" w:hAnsi="宋体" w:eastAsia="仿宋_GB2312"/>
      <w:spacing w:val="6"/>
      <w:kern w:val="2"/>
      <w:sz w:val="30"/>
      <w:szCs w:val="24"/>
    </w:rPr>
  </w:style>
  <w:style w:type="character" w:customStyle="1" w:styleId="54">
    <w:name w:val="批注框文本 Char"/>
    <w:link w:val="15"/>
    <w:semiHidden/>
    <w:qFormat/>
    <w:uiPriority w:val="0"/>
    <w:rPr>
      <w:rFonts w:ascii="宋体" w:hAnsi="宋体" w:eastAsia="仿宋_GB2312"/>
      <w:spacing w:val="6"/>
      <w:kern w:val="2"/>
      <w:sz w:val="18"/>
      <w:szCs w:val="18"/>
    </w:rPr>
  </w:style>
  <w:style w:type="character" w:customStyle="1" w:styleId="55">
    <w:name w:val="文档结构图 Char"/>
    <w:link w:val="13"/>
    <w:semiHidden/>
    <w:uiPriority w:val="0"/>
    <w:rPr>
      <w:rFonts w:ascii="宋体" w:hAnsi="宋体"/>
      <w:spacing w:val="6"/>
      <w:kern w:val="2"/>
      <w:sz w:val="18"/>
      <w:szCs w:val="18"/>
    </w:rPr>
  </w:style>
  <w:style w:type="character" w:customStyle="1" w:styleId="56">
    <w:name w:val="批注文字 Char"/>
    <w:basedOn w:val="21"/>
    <w:link w:val="12"/>
    <w:qFormat/>
    <w:uiPriority w:val="0"/>
    <w:rPr>
      <w:rFonts w:ascii="宋体" w:hAnsi="宋体" w:eastAsia="仿宋_GB2312"/>
      <w:spacing w:val="6"/>
      <w:kern w:val="2"/>
      <w:sz w:val="30"/>
      <w:szCs w:val="24"/>
    </w:rPr>
  </w:style>
  <w:style w:type="character" w:customStyle="1" w:styleId="57">
    <w:name w:val="批注主题 Char"/>
    <w:basedOn w:val="56"/>
    <w:link w:val="11"/>
    <w:semiHidden/>
    <w:uiPriority w:val="0"/>
    <w:rPr>
      <w:rFonts w:ascii="宋体" w:hAnsi="宋体" w:eastAsia="仿宋_GB2312"/>
      <w:b/>
      <w:bCs/>
      <w:spacing w:val="6"/>
      <w:kern w:val="2"/>
      <w:sz w:val="30"/>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35</Pages>
  <Words>3714</Words>
  <Characters>21174</Characters>
  <Lines>176</Lines>
  <Paragraphs>49</Paragraphs>
  <ScaleCrop>false</ScaleCrop>
  <LinksUpToDate>false</LinksUpToDate>
  <CharactersWithSpaces>0</CharactersWithSpaces>
  <Application>WPS Office_10.1.0.5346_F1E327BC-269C-435d-A152-05C5408002CA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2015-08-21T08:23:00Z</dcterms:created>
  <dc:creator>杜斯达</dc:creator>
  <cp:lastModifiedBy>lenovo</cp:lastModifiedBy>
  <cp:lastPrinted>2015-07-15T08:19:00Z</cp:lastPrinted>
  <dcterms:modified xsi:type="dcterms:W3CDTF">2015-11-09T03:19:37Z</dcterms:modified>
  <dc:title>中评协〔2015〕   号</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