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rPr>
        <w:t>资产评估机构日常业务介绍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ascii="新宋体" w:hAnsi="新宋体" w:eastAsia="新宋体" w:cs="新宋体"/>
          <w:i w:val="0"/>
          <w:iCs w:val="0"/>
          <w:caps w:val="0"/>
          <w:color w:val="000000"/>
          <w:spacing w:val="0"/>
          <w:sz w:val="19"/>
          <w:szCs w:val="19"/>
        </w:rPr>
      </w:pPr>
      <w:r>
        <w:rPr>
          <w:rFonts w:hint="eastAsia" w:ascii="新宋体" w:hAnsi="新宋体" w:eastAsia="新宋体" w:cs="新宋体"/>
          <w:i w:val="0"/>
          <w:iCs w:val="0"/>
          <w:caps w:val="0"/>
          <w:color w:val="000000"/>
          <w:spacing w:val="0"/>
          <w:sz w:val="19"/>
          <w:szCs w:val="19"/>
          <w:bdr w:val="none" w:color="auto" w:sz="0" w:space="0"/>
        </w:rPr>
        <w:drawing>
          <wp:inline distT="0" distB="0" distL="114300" distR="114300">
            <wp:extent cx="2857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8575" cy="9525"/>
                    </a:xfrm>
                    <a:prstGeom prst="rect">
                      <a:avLst/>
                    </a:prstGeom>
                    <a:noFill/>
                    <a:ln w="9525">
                      <a:noFill/>
                    </a:ln>
                  </pic:spPr>
                </pic:pic>
              </a:graphicData>
            </a:graphic>
          </wp:inline>
        </w:drawing>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已在省财政厅完成备案的机构，首先在 </w:t>
      </w:r>
      <w:r>
        <w:rPr>
          <w:rFonts w:hint="eastAsia" w:ascii="仿宋_GB2312" w:hAnsi="仿宋_GB2312" w:eastAsia="仿宋_GB2312" w:cs="仿宋_GB2312"/>
          <w:i w:val="0"/>
          <w:iCs w:val="0"/>
          <w:caps w:val="0"/>
          <w:color w:val="auto"/>
          <w:spacing w:val="0"/>
          <w:sz w:val="32"/>
          <w:szCs w:val="32"/>
          <w:u w:val="none"/>
          <w:bdr w:val="none" w:color="auto" w:sz="0" w:space="0"/>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rPr>
        <w:instrText xml:space="preserve"> HYPERLINK "http://47.94.2.36:8686/" </w:instrText>
      </w:r>
      <w:r>
        <w:rPr>
          <w:rFonts w:hint="eastAsia" w:ascii="仿宋_GB2312" w:hAnsi="仿宋_GB2312" w:eastAsia="仿宋_GB2312" w:cs="仿宋_GB2312"/>
          <w:i w:val="0"/>
          <w:iCs w:val="0"/>
          <w:caps w:val="0"/>
          <w:color w:val="auto"/>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资产评估行业管理统一信息平台</w:t>
      </w:r>
      <w:r>
        <w:rPr>
          <w:rFonts w:hint="eastAsia" w:ascii="仿宋_GB2312" w:hAnsi="仿宋_GB2312" w:eastAsia="仿宋_GB2312" w:cs="仿宋_GB2312"/>
          <w:i w:val="0"/>
          <w:iCs w:val="0"/>
          <w:caps w:val="0"/>
          <w:color w:val="auto"/>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 注册账号并申请成为机构管理员。机构管理员的主要权限有：财务报表填报、业务报备（目前在行业管理平台填报）、会员诚信档案录入、会员管理、机构备案等。</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（1）</w:t>
      </w:r>
      <w:r>
        <w:rPr>
          <w:rFonts w:hint="eastAsia" w:ascii="仿宋_GB2312" w:hAnsi="仿宋_GB2312" w:eastAsia="仿宋_GB2312" w:cs="仿宋_GB2312"/>
          <w:i w:val="0"/>
          <w:iCs w:val="0"/>
          <w:caps w:val="0"/>
          <w:color w:val="000000"/>
          <w:spacing w:val="0"/>
          <w:sz w:val="32"/>
          <w:szCs w:val="32"/>
          <w:bdr w:val="none" w:color="auto" w:sz="0" w:space="0"/>
        </w:rPr>
        <w:fldChar w:fldCharType="begin"/>
      </w:r>
      <w:r>
        <w:rPr>
          <w:rFonts w:hint="eastAsia" w:ascii="仿宋_GB2312" w:hAnsi="仿宋_GB2312" w:eastAsia="仿宋_GB2312" w:cs="仿宋_GB2312"/>
          <w:i w:val="0"/>
          <w:iCs w:val="0"/>
          <w:caps w:val="0"/>
          <w:color w:val="000000"/>
          <w:spacing w:val="0"/>
          <w:sz w:val="32"/>
          <w:szCs w:val="32"/>
          <w:bdr w:val="none" w:color="auto" w:sz="0" w:space="0"/>
        </w:rPr>
        <w:instrText xml:space="preserve"> HYPERLINK "http://www.jlas.org.cn/wp-content/uploads/2023/07/%E7%BB%9F%E4%B8%80%E4%BF%A1%E6%81%AF%E5%B9%B3%E5%8F%B0%E6%9C%BA%E6%9E%84%E7%AE%A1%E7%90%86%E6%93%8D%E4%BD%9C%E6%89%8B%E5%86%8C.pdf" </w:instrText>
      </w:r>
      <w:r>
        <w:rPr>
          <w:rFonts w:hint="eastAsia" w:ascii="仿宋_GB2312" w:hAnsi="仿宋_GB2312" w:eastAsia="仿宋_GB2312" w:cs="仿宋_GB2312"/>
          <w:i w:val="0"/>
          <w:iCs w:val="0"/>
          <w:caps w:val="0"/>
          <w:color w:val="000000"/>
          <w:spacing w:val="0"/>
          <w:sz w:val="32"/>
          <w:szCs w:val="32"/>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统一信息平台机构管理操作手册</w:t>
      </w:r>
      <w:r>
        <w:rPr>
          <w:rFonts w:hint="eastAsia" w:ascii="仿宋_GB2312" w:hAnsi="仿宋_GB2312" w:eastAsia="仿宋_GB2312" w:cs="仿宋_GB2312"/>
          <w:i w:val="0"/>
          <w:iCs w:val="0"/>
          <w:caps w:val="0"/>
          <w:color w:val="000000"/>
          <w:spacing w:val="0"/>
          <w:sz w:val="32"/>
          <w:szCs w:val="32"/>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w:t>
      </w:r>
      <w:r>
        <w:rPr>
          <w:rFonts w:hint="eastAsia" w:ascii="仿宋_GB2312" w:hAnsi="仿宋_GB2312" w:eastAsia="仿宋_GB2312" w:cs="仿宋_GB2312"/>
          <w:i w:val="0"/>
          <w:iCs w:val="0"/>
          <w:caps w:val="0"/>
          <w:color w:val="auto"/>
          <w:spacing w:val="0"/>
          <w:sz w:val="32"/>
          <w:szCs w:val="32"/>
          <w:u w:val="none"/>
          <w:bdr w:val="none" w:color="auto" w:sz="0" w:space="0"/>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rPr>
        <w:instrText xml:space="preserve"> HYPERLINK "http://www.jlas.org.cn/wp-content/uploads/2023/07/%E7%BB%9F%E4%B8%80%E4%BF%A1%E6%81%AF%E5%B9%B3%E5%8F%B0%E4%B8%AA%E4%BA%BA%E4%B8%AD%E5%BF%83%E6%93%8D%E4%BD%9C%E6%89%8B%E5%86%8C.pdf" </w:instrText>
      </w:r>
      <w:r>
        <w:rPr>
          <w:rFonts w:hint="eastAsia" w:ascii="仿宋_GB2312" w:hAnsi="仿宋_GB2312" w:eastAsia="仿宋_GB2312" w:cs="仿宋_GB2312"/>
          <w:i w:val="0"/>
          <w:iCs w:val="0"/>
          <w:caps w:val="0"/>
          <w:color w:val="auto"/>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统一信息平台个人中心操作手册</w:t>
      </w:r>
      <w:r>
        <w:rPr>
          <w:rFonts w:hint="eastAsia" w:ascii="仿宋_GB2312" w:hAnsi="仿宋_GB2312" w:eastAsia="仿宋_GB2312" w:cs="仿宋_GB2312"/>
          <w:i w:val="0"/>
          <w:iCs w:val="0"/>
          <w:caps w:val="0"/>
          <w:color w:val="auto"/>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2、根据《</w:t>
      </w:r>
      <w:r>
        <w:rPr>
          <w:rFonts w:hint="eastAsia" w:ascii="仿宋_GB2312" w:hAnsi="仿宋_GB2312" w:eastAsia="仿宋_GB2312" w:cs="仿宋_GB2312"/>
          <w:i w:val="0"/>
          <w:iCs w:val="0"/>
          <w:caps w:val="0"/>
          <w:color w:val="auto"/>
          <w:spacing w:val="0"/>
          <w:sz w:val="32"/>
          <w:szCs w:val="32"/>
          <w:u w:val="none"/>
          <w:bdr w:val="none" w:color="auto" w:sz="0" w:space="0"/>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rPr>
        <w:instrText xml:space="preserve"> HYPERLINK "http://www.jlas.org.cn/wp-content/uploads/2021/12/%E4%B8%AD%E5%9B%BD%E8%B5%84%E4%BA%A7%E8%AF%84%E4%BC%B0%E5%8D%8F%E4%BC%9A%E8%B5%84%E4%BA%A7%E8%AF%84%E4%BC%B0%E4%B8%9A%E5%8A%A1%E6%8A%A5%E5%A4%87%E7%AE%A1%E7%90%86%E5%8A%9E%E6%B3%95.pdf" </w:instrText>
      </w:r>
      <w:r>
        <w:rPr>
          <w:rFonts w:hint="eastAsia" w:ascii="仿宋_GB2312" w:hAnsi="仿宋_GB2312" w:eastAsia="仿宋_GB2312" w:cs="仿宋_GB2312"/>
          <w:i w:val="0"/>
          <w:iCs w:val="0"/>
          <w:caps w:val="0"/>
          <w:color w:val="auto"/>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中国资产评估协会资产评估业务报备管理办法</w:t>
      </w:r>
      <w:r>
        <w:rPr>
          <w:rFonts w:hint="eastAsia" w:ascii="仿宋_GB2312" w:hAnsi="仿宋_GB2312" w:eastAsia="仿宋_GB2312" w:cs="仿宋_GB2312"/>
          <w:i w:val="0"/>
          <w:iCs w:val="0"/>
          <w:caps w:val="0"/>
          <w:color w:val="auto"/>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评估机构须在出具正式资产评估报告前须申请报告备案回执并打印装订在资产评估报告扉页。省评协将采取不定期抽查和定期检查的方式对评估机构业务报备情况进行检查，发现未按《办法》规定进行报备的，将按照相关规定对评估机构做出自律处罚。</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"http://www.cas.org.cn/xxhjs/index.htm"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讲解视频</w:t>
      </w:r>
      <w:r>
        <w:rPr>
          <w:rFonts w:hint="eastAsia" w:ascii="仿宋_GB2312" w:hAnsi="仿宋_GB2312" w:eastAsia="仿宋_GB2312" w:cs="仿宋_GB2312"/>
          <w:i w:val="0"/>
          <w:iCs w:val="0"/>
          <w:caps w:val="0"/>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3、根据《</w:t>
      </w:r>
      <w:r>
        <w:rPr>
          <w:rFonts w:hint="eastAsia" w:ascii="仿宋_GB2312" w:hAnsi="仿宋_GB2312" w:eastAsia="仿宋_GB2312" w:cs="仿宋_GB2312"/>
          <w:i w:val="0"/>
          <w:iCs w:val="0"/>
          <w:caps w:val="0"/>
          <w:color w:val="auto"/>
          <w:spacing w:val="0"/>
          <w:sz w:val="32"/>
          <w:szCs w:val="32"/>
          <w:u w:val="none"/>
          <w:bdr w:val="none" w:color="auto" w:sz="0" w:space="0"/>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rPr>
        <w:instrText xml:space="preserve"> HYPERLINK "http://www.cas.org.cn/ggl/60908.htm" </w:instrText>
      </w:r>
      <w:r>
        <w:rPr>
          <w:rFonts w:hint="eastAsia" w:ascii="仿宋_GB2312" w:hAnsi="仿宋_GB2312" w:eastAsia="仿宋_GB2312" w:cs="仿宋_GB2312"/>
          <w:i w:val="0"/>
          <w:iCs w:val="0"/>
          <w:caps w:val="0"/>
          <w:color w:val="auto"/>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中国资产评估协会执业会员继续教育管理办法</w:t>
      </w:r>
      <w:r>
        <w:rPr>
          <w:rFonts w:hint="eastAsia" w:ascii="仿宋_GB2312" w:hAnsi="仿宋_GB2312" w:eastAsia="仿宋_GB2312" w:cs="仿宋_GB2312"/>
          <w:i w:val="0"/>
          <w:iCs w:val="0"/>
          <w:caps w:val="0"/>
          <w:color w:val="auto"/>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》，执业会员每年须完成继续教育60学时，可自行选择</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"http://zpx.e-nai.cn/"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北京国家会计学院</w:t>
      </w:r>
      <w:r>
        <w:rPr>
          <w:rFonts w:hint="eastAsia" w:ascii="仿宋_GB2312" w:hAnsi="仿宋_GB2312" w:eastAsia="仿宋_GB2312" w:cs="仿宋_GB2312"/>
          <w:i w:val="0"/>
          <w:iCs w:val="0"/>
          <w:caps w:val="0"/>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"http://ce.esnai.net/c/cpvcas/"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上海国家会计学院</w:t>
      </w:r>
      <w:r>
        <w:rPr>
          <w:rFonts w:hint="eastAsia" w:ascii="仿宋_GB2312" w:hAnsi="仿宋_GB2312" w:eastAsia="仿宋_GB2312" w:cs="仿宋_GB2312"/>
          <w:i w:val="0"/>
          <w:iCs w:val="0"/>
          <w:caps w:val="0"/>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进行学习。</w:t>
      </w:r>
      <w:r>
        <w:rPr>
          <w:rStyle w:val="8"/>
          <w:rFonts w:hint="eastAsia" w:ascii="仿宋_GB2312" w:hAnsi="仿宋_GB2312" w:eastAsia="仿宋_GB2312" w:cs="仿宋_GB2312"/>
          <w:i w:val="0"/>
          <w:iCs w:val="0"/>
          <w:caps w:val="0"/>
          <w:color w:val="E53333"/>
          <w:spacing w:val="0"/>
          <w:sz w:val="32"/>
          <w:szCs w:val="32"/>
          <w:u w:val="single"/>
          <w:bdr w:val="none" w:color="auto" w:sz="0" w:space="0"/>
        </w:rPr>
        <w:t>执业会员须完成60学时必修课，选修课不计入继续教育学时。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未按规定完成继续教育的执业会员，不能通过下年的执业会员年检。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rPr>
        <w:t>4、根据《</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"http://www.cas.org.cn/ggl/e8d35d1346e0494c92e7923b576a1c5c.htm"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中国资产评估协会会员管理办法</w:t>
      </w:r>
      <w:r>
        <w:rPr>
          <w:rFonts w:hint="eastAsia" w:ascii="仿宋_GB2312" w:hAnsi="仿宋_GB2312" w:eastAsia="仿宋_GB2312" w:cs="仿宋_GB2312"/>
          <w:i w:val="0"/>
          <w:iCs w:val="0"/>
          <w:caps w:val="0"/>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》的规定，执业会员每年4月30日前须参加年检，具体时间省评协将另行通知。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5、根据财政部文件《</w:t>
      </w:r>
      <w:r>
        <w:rPr>
          <w:rFonts w:hint="eastAsia" w:ascii="仿宋_GB2312" w:hAnsi="仿宋_GB2312" w:eastAsia="仿宋_GB2312" w:cs="仿宋_GB2312"/>
          <w:i w:val="0"/>
          <w:iCs w:val="0"/>
          <w:caps w:val="0"/>
          <w:color w:val="auto"/>
          <w:spacing w:val="0"/>
          <w:sz w:val="32"/>
          <w:szCs w:val="32"/>
          <w:u w:val="none"/>
          <w:bdr w:val="none" w:color="auto" w:sz="0" w:space="0"/>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rPr>
        <w:instrText xml:space="preserve"> HYPERLINK "http://www.cas.org.cn/xwbd/xydt/24729.htm" </w:instrText>
      </w:r>
      <w:r>
        <w:rPr>
          <w:rFonts w:hint="eastAsia" w:ascii="仿宋_GB2312" w:hAnsi="仿宋_GB2312" w:eastAsia="仿宋_GB2312" w:cs="仿宋_GB2312"/>
          <w:i w:val="0"/>
          <w:iCs w:val="0"/>
          <w:caps w:val="0"/>
          <w:color w:val="auto"/>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资产评估机构职业风险基金管理办法</w:t>
      </w:r>
      <w:r>
        <w:rPr>
          <w:rFonts w:hint="eastAsia" w:ascii="仿宋_GB2312" w:hAnsi="仿宋_GB2312" w:eastAsia="仿宋_GB2312" w:cs="仿宋_GB2312"/>
          <w:i w:val="0"/>
          <w:iCs w:val="0"/>
          <w:caps w:val="0"/>
          <w:color w:val="auto"/>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》（财企[2009]26号）要求，提取职业风险基金或购买职业责任保险。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6、每年4月30日前填报财务报表并根据</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lang w:eastAsia="zh-CN"/>
        </w:rPr>
        <w:fldChar w:fldCharType="begin"/>
      </w:r>
      <w:r>
        <w:rPr>
          <w:rFonts w:hint="eastAsia" w:ascii="仿宋_GB2312" w:hAnsi="仿宋_GB2312" w:eastAsia="仿宋_GB2312" w:cs="仿宋_GB2312"/>
          <w:i w:val="0"/>
          <w:iCs w:val="0"/>
          <w:caps w:val="0"/>
          <w:color w:val="000000"/>
          <w:spacing w:val="0"/>
          <w:sz w:val="32"/>
          <w:szCs w:val="32"/>
          <w:bdr w:val="none" w:color="auto" w:sz="0" w:space="0"/>
          <w:lang w:eastAsia="zh-CN"/>
        </w:rPr>
        <w:instrText xml:space="preserve"> HYPERLINK "琼评协〔2023〕51号 海南省资产评估协会关于印发《海南省资产评估协会会费管理办法》的通知.pdf" </w:instrText>
      </w:r>
      <w:r>
        <w:rPr>
          <w:rFonts w:hint="eastAsia" w:ascii="仿宋_GB2312" w:hAnsi="仿宋_GB2312" w:eastAsia="仿宋_GB2312" w:cs="仿宋_GB2312"/>
          <w:i w:val="0"/>
          <w:iCs w:val="0"/>
          <w:caps w:val="0"/>
          <w:color w:val="000000"/>
          <w:spacing w:val="0"/>
          <w:sz w:val="32"/>
          <w:szCs w:val="32"/>
          <w:bdr w:val="none" w:color="auto" w:sz="0" w:space="0"/>
          <w:lang w:eastAsia="zh-CN"/>
        </w:rPr>
        <w:fldChar w:fldCharType="separate"/>
      </w:r>
      <w:r>
        <w:rPr>
          <w:rStyle w:val="9"/>
          <w:rFonts w:hint="eastAsia" w:ascii="仿宋_GB2312" w:hAnsi="仿宋_GB2312" w:eastAsia="仿宋_GB2312" w:cs="仿宋_GB2312"/>
          <w:i w:val="0"/>
          <w:iCs w:val="0"/>
          <w:caps w:val="0"/>
          <w:spacing w:val="0"/>
          <w:sz w:val="32"/>
          <w:szCs w:val="32"/>
          <w:bdr w:val="none" w:color="auto" w:sz="0" w:space="0"/>
          <w:lang w:eastAsia="zh-CN"/>
        </w:rPr>
        <w:t>海南省资产评估协会会费管理办法</w:t>
      </w:r>
      <w:r>
        <w:rPr>
          <w:rFonts w:hint="eastAsia" w:ascii="仿宋_GB2312" w:hAnsi="仿宋_GB2312" w:eastAsia="仿宋_GB2312" w:cs="仿宋_GB2312"/>
          <w:i w:val="0"/>
          <w:iCs w:val="0"/>
          <w:caps w:val="0"/>
          <w:color w:val="000000"/>
          <w:spacing w:val="0"/>
          <w:sz w:val="32"/>
          <w:szCs w:val="32"/>
          <w:bdr w:val="none" w:color="auto" w:sz="0" w:space="0"/>
          <w:lang w:eastAsia="zh-CN"/>
        </w:rPr>
        <w:fldChar w:fldCharType="end"/>
      </w:r>
      <w:r>
        <w:rPr>
          <w:rFonts w:hint="eastAsia" w:ascii="仿宋_GB2312" w:hAnsi="仿宋_GB2312" w:eastAsia="仿宋_GB2312" w:cs="仿宋_GB2312"/>
          <w:i w:val="0"/>
          <w:iCs w:val="0"/>
          <w:caps w:val="0"/>
          <w:color w:val="000000"/>
          <w:spacing w:val="0"/>
          <w:sz w:val="32"/>
          <w:szCs w:val="32"/>
          <w:bdr w:val="none" w:color="auto" w:sz="0" w:space="0"/>
          <w:lang w:eastAsia="zh-CN"/>
        </w:rPr>
        <w:t>》和</w:t>
      </w:r>
      <w:r>
        <w:rPr>
          <w:rFonts w:hint="eastAsia" w:ascii="仿宋_GB2312" w:hAnsi="仿宋_GB2312" w:eastAsia="仿宋_GB2312" w:cs="仿宋_GB2312"/>
          <w:i w:val="0"/>
          <w:iCs w:val="0"/>
          <w:caps w:val="0"/>
          <w:color w:val="000000"/>
          <w:spacing w:val="0"/>
          <w:sz w:val="32"/>
          <w:szCs w:val="32"/>
          <w:bdr w:val="none" w:color="auto" w:sz="0" w:space="0"/>
        </w:rPr>
        <w:t>《</w:t>
      </w:r>
      <w:r>
        <w:rPr>
          <w:rFonts w:hint="eastAsia" w:ascii="仿宋_GB2312" w:hAnsi="仿宋_GB2312" w:eastAsia="仿宋_GB2312" w:cs="仿宋_GB2312"/>
          <w:i w:val="0"/>
          <w:iCs w:val="0"/>
          <w:caps w:val="0"/>
          <w:color w:val="000000"/>
          <w:spacing w:val="0"/>
          <w:sz w:val="32"/>
          <w:szCs w:val="32"/>
          <w:bdr w:val="none" w:color="auto" w:sz="0" w:space="0"/>
        </w:rPr>
        <w:fldChar w:fldCharType="begin"/>
      </w:r>
      <w:r>
        <w:rPr>
          <w:rFonts w:hint="eastAsia" w:ascii="仿宋_GB2312" w:hAnsi="仿宋_GB2312" w:eastAsia="仿宋_GB2312" w:cs="仿宋_GB2312"/>
          <w:i w:val="0"/>
          <w:iCs w:val="0"/>
          <w:caps w:val="0"/>
          <w:color w:val="000000"/>
          <w:spacing w:val="0"/>
          <w:sz w:val="32"/>
          <w:szCs w:val="32"/>
          <w:bdr w:val="none" w:color="auto" w:sz="0" w:space="0"/>
        </w:rPr>
        <w:instrText xml:space="preserve"> HYPERLINK "中国资产评估协会会费管理办法.pdf" </w:instrText>
      </w:r>
      <w:r>
        <w:rPr>
          <w:rFonts w:hint="eastAsia" w:ascii="仿宋_GB2312" w:hAnsi="仿宋_GB2312" w:eastAsia="仿宋_GB2312" w:cs="仿宋_GB2312"/>
          <w:i w:val="0"/>
          <w:iCs w:val="0"/>
          <w:caps w:val="0"/>
          <w:color w:val="000000"/>
          <w:spacing w:val="0"/>
          <w:sz w:val="32"/>
          <w:szCs w:val="32"/>
          <w:bdr w:val="none" w:color="auto" w:sz="0" w:space="0"/>
        </w:rPr>
        <w:fldChar w:fldCharType="separate"/>
      </w:r>
      <w:r>
        <w:rPr>
          <w:rStyle w:val="9"/>
          <w:rFonts w:hint="eastAsia" w:ascii="仿宋_GB2312" w:hAnsi="仿宋_GB2312" w:eastAsia="仿宋_GB2312" w:cs="仿宋_GB2312"/>
          <w:i w:val="0"/>
          <w:iCs w:val="0"/>
          <w:caps w:val="0"/>
          <w:spacing w:val="0"/>
          <w:sz w:val="32"/>
          <w:szCs w:val="32"/>
          <w:bdr w:val="none" w:color="auto" w:sz="0" w:space="0"/>
        </w:rPr>
        <w:t>中国资产评估协会会费管理办法</w:t>
      </w:r>
      <w:r>
        <w:rPr>
          <w:rFonts w:hint="eastAsia" w:ascii="仿宋_GB2312" w:hAnsi="仿宋_GB2312" w:eastAsia="仿宋_GB2312" w:cs="仿宋_GB2312"/>
          <w:i w:val="0"/>
          <w:iCs w:val="0"/>
          <w:caps w:val="0"/>
          <w:color w:val="000000"/>
          <w:spacing w:val="0"/>
          <w:sz w:val="32"/>
          <w:szCs w:val="32"/>
          <w:bdr w:val="none" w:color="auto" w:sz="0" w:space="0"/>
        </w:rPr>
        <w:fldChar w:fldCharType="end"/>
      </w:r>
      <w:r>
        <w:rPr>
          <w:rFonts w:hint="eastAsia" w:ascii="仿宋_GB2312" w:hAnsi="仿宋_GB2312" w:eastAsia="仿宋_GB2312" w:cs="仿宋_GB2312"/>
          <w:i w:val="0"/>
          <w:iCs w:val="0"/>
          <w:caps w:val="0"/>
          <w:color w:val="000000"/>
          <w:spacing w:val="0"/>
          <w:sz w:val="32"/>
          <w:szCs w:val="32"/>
          <w:bdr w:val="none" w:color="auto" w:sz="0" w:space="0"/>
        </w:rPr>
        <w:t>》交纳会费，具体时间省评协将另行通知。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（1）</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"http://47.94.11.33:8039/content/%E7%94%A8%E6%88%B7%E4%BD%BF%E7%94%A8%E8%AF%B4%E6%98%8E%E4%B9%A6/%E3%80%8A%E8%B4%A2%E5%8A%A1%E6%8A%A5%E8%A1%A8%E6%B1%87%E6%80%BB%E6%A8%A1%E5%9D%97%E3%80%8B%E4%BD%BF%E7%94%A8%E8%AF%B4%E6%98%8E%E4%B9%A6 - %E6%9C%BA%E6%9E%84%E7%AB%AFV2.1.pdf"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财务报表填报操作说明书</w:t>
      </w:r>
      <w:r>
        <w:rPr>
          <w:rFonts w:hint="eastAsia" w:ascii="仿宋_GB2312" w:hAnsi="仿宋_GB2312" w:eastAsia="仿宋_GB2312" w:cs="仿宋_GB2312"/>
          <w:i w:val="0"/>
          <w:iCs w:val="0"/>
          <w:caps w:val="0"/>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w:t>
      </w:r>
      <w:r>
        <w:rPr>
          <w:rFonts w:hint="eastAsia" w:ascii="仿宋_GB2312" w:hAnsi="仿宋_GB2312" w:eastAsia="仿宋_GB2312" w:cs="仿宋_GB2312"/>
          <w:i w:val="0"/>
          <w:iCs w:val="0"/>
          <w:caps w:val="0"/>
          <w:spacing w:val="0"/>
          <w:sz w:val="32"/>
          <w:szCs w:val="32"/>
          <w:u w:val="none"/>
          <w:bdr w:val="none" w:color="auto" w:sz="0" w:space="0"/>
        </w:rPr>
        <w:fldChar w:fldCharType="begin"/>
      </w:r>
      <w:r>
        <w:rPr>
          <w:rFonts w:hint="eastAsia" w:ascii="仿宋_GB2312" w:hAnsi="仿宋_GB2312" w:eastAsia="仿宋_GB2312" w:cs="仿宋_GB2312"/>
          <w:i w:val="0"/>
          <w:iCs w:val="0"/>
          <w:caps w:val="0"/>
          <w:spacing w:val="0"/>
          <w:sz w:val="32"/>
          <w:szCs w:val="32"/>
          <w:u w:val="none"/>
          <w:bdr w:val="none" w:color="auto" w:sz="0" w:space="0"/>
        </w:rPr>
        <w:instrText xml:space="preserve"> HYPERLINK "http://www.cas.org.cn/xxhjs/15152eb268f441cfa270e40c9b42f9c5.htm" \t "http://www.jlas.org.cn/_blank" </w:instrText>
      </w:r>
      <w:r>
        <w:rPr>
          <w:rFonts w:hint="eastAsia" w:ascii="仿宋_GB2312" w:hAnsi="仿宋_GB2312" w:eastAsia="仿宋_GB2312" w:cs="仿宋_GB2312"/>
          <w:i w:val="0"/>
          <w:iCs w:val="0"/>
          <w:caps w:val="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spacing w:val="0"/>
          <w:sz w:val="32"/>
          <w:szCs w:val="32"/>
          <w:u w:val="none"/>
          <w:bdr w:val="none" w:color="auto" w:sz="0" w:space="0"/>
        </w:rPr>
        <w:t>财务报表填报讲解视频</w:t>
      </w:r>
      <w:r>
        <w:rPr>
          <w:rFonts w:hint="eastAsia" w:ascii="仿宋_GB2312" w:hAnsi="仿宋_GB2312" w:eastAsia="仿宋_GB2312" w:cs="仿宋_GB2312"/>
          <w:i w:val="0"/>
          <w:iCs w:val="0"/>
          <w:caps w:val="0"/>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7、省评协不能解决的技术问题，请咨询行业管理平台技术支持：</w:t>
      </w:r>
      <w:r>
        <w:rPr>
          <w:rFonts w:hint="eastAsia" w:ascii="仿宋_GB2312" w:hAnsi="仿宋_GB2312" w:eastAsia="仿宋_GB2312" w:cs="仿宋_GB2312"/>
          <w:sz w:val="32"/>
          <w:szCs w:val="32"/>
        </w:rPr>
        <w:t>13051653113、18515423171、010-88014204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问题反馈和咨询邮箱：it@cas.org.cn</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78726"/>
    <w:multiLevelType w:val="singleLevel"/>
    <w:tmpl w:val="31F787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TdhZjE4YzJjYjI2Y2FkODMyMWEwYjE1MmJmNDcifQ=="/>
  </w:docVars>
  <w:rsids>
    <w:rsidRoot w:val="2CDF05F0"/>
    <w:rsid w:val="0AF25902"/>
    <w:rsid w:val="270E7E69"/>
    <w:rsid w:val="2CDF05F0"/>
    <w:rsid w:val="300076CA"/>
    <w:rsid w:val="45E16709"/>
    <w:rsid w:val="520A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2023-11-16T03:14:00Z</dcterms:created>
  <dc:creator>wenwen</dc:creator>
  <cp:lastModifiedBy>wenwen</cp:lastModifiedBy>
  <dcterms:modified xsi:type="dcterms:W3CDTF">2023-11-16T08:42:03Z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1CFFFC74FDA4444399243CC777F08511_11</vt:lpwstr>
  </property>
</Properties>
</file>